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附件1</w:t>
      </w:r>
    </w:p>
    <w:p>
      <w:pPr>
        <w:keepNext w:val="0"/>
        <w:keepLines w:val="0"/>
        <w:pageBreakBefore w:val="0"/>
        <w:widowControl w:val="0"/>
        <w:kinsoku/>
        <w:wordWrap/>
        <w:overflowPunct/>
        <w:topLinePunct w:val="0"/>
        <w:autoSpaceDE/>
        <w:autoSpaceDN/>
        <w:bidi w:val="0"/>
        <w:adjustRightInd/>
        <w:snapToGrid/>
        <w:spacing w:line="720" w:lineRule="exact"/>
        <w:contextualSpacing/>
        <w:jc w:val="center"/>
        <w:textAlignment w:val="auto"/>
        <w:rPr>
          <w:rFonts w:hint="eastAsia" w:ascii="Times New Roman" w:hAnsi="Times New Roman" w:eastAsia="方正仿宋简体" w:cs="仿宋_GB2312"/>
          <w:b/>
          <w:bCs/>
          <w:sz w:val="24"/>
          <w:szCs w:val="24"/>
          <w:lang w:eastAsia="zh-CN"/>
        </w:rPr>
      </w:pPr>
      <w:r>
        <w:rPr>
          <w:rFonts w:hint="eastAsia" w:ascii="方正小标宋_GBK" w:hAnsi="方正小标宋_GBK" w:eastAsia="方正小标宋_GBK" w:cs="方正小标宋_GBK"/>
          <w:bCs/>
          <w:sz w:val="44"/>
          <w:szCs w:val="32"/>
        </w:rPr>
        <w:t>高校共青团深化改革评价指标体系（2022年</w:t>
      </w:r>
      <w:r>
        <w:rPr>
          <w:rFonts w:hint="eastAsia" w:ascii="方正小标宋_GBK" w:hAnsi="方正小标宋_GBK" w:eastAsia="方正小标宋_GBK" w:cs="方正小标宋_GBK"/>
          <w:bCs/>
          <w:sz w:val="44"/>
          <w:szCs w:val="32"/>
          <w:lang w:eastAsia="zh-CN"/>
        </w:rPr>
        <w:t>团中央</w:t>
      </w:r>
      <w:r>
        <w:rPr>
          <w:rFonts w:hint="eastAsia" w:ascii="方正小标宋_GBK" w:hAnsi="方正小标宋_GBK" w:eastAsia="方正小标宋_GBK" w:cs="方正小标宋_GBK"/>
          <w:bCs/>
          <w:sz w:val="44"/>
          <w:szCs w:val="32"/>
        </w:rPr>
        <w:t>修订）</w:t>
      </w:r>
    </w:p>
    <w:p>
      <w:pPr>
        <w:keepNext w:val="0"/>
        <w:keepLines w:val="0"/>
        <w:pageBreakBefore w:val="0"/>
        <w:widowControl w:val="0"/>
        <w:kinsoku/>
        <w:wordWrap/>
        <w:overflowPunct/>
        <w:topLinePunct w:val="0"/>
        <w:autoSpaceDE/>
        <w:autoSpaceDN/>
        <w:bidi w:val="0"/>
        <w:adjustRightInd/>
        <w:snapToGrid/>
        <w:spacing w:line="200" w:lineRule="exact"/>
        <w:contextualSpacing/>
        <w:textAlignment w:val="auto"/>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contextualSpacing/>
        <w:textAlignment w:val="auto"/>
        <w:rPr>
          <w:rFonts w:hint="eastAsia" w:ascii="仿宋" w:hAnsi="仿宋" w:eastAsia="仿宋" w:cs="仿宋"/>
          <w:b w:val="0"/>
          <w:bCs w:val="0"/>
          <w:sz w:val="28"/>
          <w:szCs w:val="28"/>
          <w:lang w:val="en-US" w:eastAsia="zh-CN"/>
        </w:rPr>
      </w:pPr>
    </w:p>
    <w:tbl>
      <w:tblPr>
        <w:tblStyle w:val="4"/>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6667"/>
        <w:gridCol w:w="1229"/>
        <w:gridCol w:w="2758"/>
        <w:gridCol w:w="1072"/>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636" w:type="pct"/>
            <w:tcBorders>
              <w:bottom w:val="single" w:color="auto" w:sz="4" w:space="0"/>
            </w:tcBorders>
            <w:noWrap w:val="0"/>
            <w:vAlign w:val="center"/>
          </w:tcPr>
          <w:p>
            <w:pPr>
              <w:spacing w:line="360" w:lineRule="exact"/>
              <w:contextualSpacing/>
              <w:jc w:val="center"/>
              <w:rPr>
                <w:rFonts w:ascii="Times New Roman" w:hAnsi="Times New Roman" w:eastAsia="黑体"/>
                <w:sz w:val="24"/>
                <w:szCs w:val="24"/>
              </w:rPr>
            </w:pPr>
            <w:r>
              <w:rPr>
                <w:rFonts w:hint="eastAsia" w:ascii="Times New Roman" w:hAnsi="Times New Roman" w:eastAsia="黑体"/>
                <w:sz w:val="24"/>
                <w:szCs w:val="24"/>
              </w:rPr>
              <w:t>关键</w:t>
            </w:r>
          </w:p>
          <w:p>
            <w:pPr>
              <w:spacing w:line="360" w:lineRule="exact"/>
              <w:contextualSpacing/>
              <w:jc w:val="center"/>
              <w:rPr>
                <w:rFonts w:ascii="Times New Roman" w:hAnsi="Times New Roman" w:eastAsia="黑体"/>
                <w:sz w:val="24"/>
                <w:szCs w:val="24"/>
              </w:rPr>
            </w:pPr>
            <w:r>
              <w:rPr>
                <w:rFonts w:hint="eastAsia" w:ascii="Times New Roman" w:hAnsi="Times New Roman" w:eastAsia="黑体"/>
                <w:sz w:val="24"/>
                <w:szCs w:val="24"/>
              </w:rPr>
              <w:t>指标</w:t>
            </w:r>
          </w:p>
        </w:tc>
        <w:tc>
          <w:tcPr>
            <w:tcW w:w="2268" w:type="pct"/>
            <w:tcBorders>
              <w:bottom w:val="single" w:color="auto" w:sz="4" w:space="0"/>
            </w:tcBorders>
            <w:noWrap w:val="0"/>
            <w:vAlign w:val="center"/>
          </w:tcPr>
          <w:p>
            <w:pPr>
              <w:spacing w:line="360" w:lineRule="exact"/>
              <w:contextualSpacing/>
              <w:jc w:val="center"/>
              <w:rPr>
                <w:rFonts w:ascii="Times New Roman" w:hAnsi="Times New Roman" w:eastAsia="黑体"/>
                <w:sz w:val="24"/>
                <w:szCs w:val="24"/>
              </w:rPr>
            </w:pPr>
            <w:r>
              <w:rPr>
                <w:rFonts w:hint="eastAsia" w:ascii="Times New Roman" w:hAnsi="Times New Roman" w:eastAsia="黑体"/>
                <w:sz w:val="24"/>
                <w:szCs w:val="24"/>
              </w:rPr>
              <w:t>考察要点</w:t>
            </w:r>
          </w:p>
        </w:tc>
        <w:tc>
          <w:tcPr>
            <w:tcW w:w="418" w:type="pct"/>
            <w:tcBorders>
              <w:bottom w:val="single" w:color="auto" w:sz="4" w:space="0"/>
            </w:tcBorders>
            <w:noWrap w:val="0"/>
            <w:vAlign w:val="center"/>
          </w:tcPr>
          <w:p>
            <w:pPr>
              <w:spacing w:line="360" w:lineRule="exact"/>
              <w:ind w:left="-63" w:leftChars="-30" w:right="-76" w:rightChars="-36"/>
              <w:contextualSpacing/>
              <w:jc w:val="center"/>
              <w:rPr>
                <w:rFonts w:ascii="Times New Roman" w:hAnsi="Times New Roman" w:eastAsia="黑体"/>
                <w:sz w:val="24"/>
                <w:szCs w:val="24"/>
              </w:rPr>
            </w:pPr>
            <w:r>
              <w:rPr>
                <w:rFonts w:hint="eastAsia" w:ascii="Times New Roman" w:hAnsi="Times New Roman" w:eastAsia="黑体"/>
                <w:sz w:val="24"/>
                <w:szCs w:val="24"/>
              </w:rPr>
              <w:t>重点改革指标</w:t>
            </w:r>
          </w:p>
        </w:tc>
        <w:tc>
          <w:tcPr>
            <w:tcW w:w="938" w:type="pct"/>
            <w:tcBorders>
              <w:bottom w:val="single" w:color="auto" w:sz="4" w:space="0"/>
            </w:tcBorders>
            <w:noWrap w:val="0"/>
            <w:vAlign w:val="center"/>
          </w:tcPr>
          <w:p>
            <w:pPr>
              <w:spacing w:line="360" w:lineRule="exact"/>
              <w:ind w:left="-63" w:leftChars="-30" w:right="-76" w:rightChars="-36"/>
              <w:contextualSpacing/>
              <w:jc w:val="center"/>
              <w:rPr>
                <w:rFonts w:ascii="Times New Roman" w:hAnsi="Times New Roman" w:eastAsia="黑体"/>
                <w:sz w:val="24"/>
                <w:szCs w:val="24"/>
              </w:rPr>
            </w:pPr>
            <w:r>
              <w:rPr>
                <w:rFonts w:hint="eastAsia" w:ascii="Times New Roman" w:hAnsi="Times New Roman" w:eastAsia="黑体"/>
                <w:sz w:val="24"/>
                <w:szCs w:val="24"/>
              </w:rPr>
              <w:t>备注</w:t>
            </w:r>
          </w:p>
          <w:p>
            <w:pPr>
              <w:spacing w:line="360" w:lineRule="exact"/>
              <w:ind w:left="-63" w:leftChars="-30" w:right="-76" w:rightChars="-36"/>
              <w:contextualSpacing/>
              <w:jc w:val="center"/>
              <w:rPr>
                <w:rFonts w:ascii="Times New Roman" w:hAnsi="Times New Roman" w:eastAsia="黑体"/>
                <w:sz w:val="24"/>
                <w:szCs w:val="24"/>
              </w:rPr>
            </w:pPr>
            <w:r>
              <w:rPr>
                <w:rFonts w:hint="eastAsia" w:ascii="Times New Roman" w:hAnsi="Times New Roman" w:eastAsia="黑体"/>
                <w:sz w:val="24"/>
                <w:szCs w:val="24"/>
              </w:rPr>
              <w:t>（主要监测点）</w:t>
            </w:r>
          </w:p>
        </w:tc>
        <w:tc>
          <w:tcPr>
            <w:tcW w:w="364" w:type="pct"/>
            <w:tcBorders>
              <w:bottom w:val="single" w:color="auto" w:sz="4" w:space="0"/>
            </w:tcBorders>
            <w:noWrap w:val="0"/>
            <w:vAlign w:val="center"/>
          </w:tcPr>
          <w:p>
            <w:pPr>
              <w:spacing w:line="360" w:lineRule="exact"/>
              <w:contextualSpacing/>
              <w:jc w:val="center"/>
              <w:rPr>
                <w:rFonts w:ascii="Times New Roman" w:hAnsi="Times New Roman" w:eastAsia="黑体"/>
                <w:sz w:val="24"/>
                <w:szCs w:val="24"/>
              </w:rPr>
            </w:pPr>
            <w:r>
              <w:rPr>
                <w:rFonts w:hint="eastAsia" w:ascii="Times New Roman" w:hAnsi="Times New Roman" w:eastAsia="黑体"/>
                <w:sz w:val="24"/>
                <w:szCs w:val="24"/>
              </w:rPr>
              <w:t>状态</w:t>
            </w:r>
          </w:p>
          <w:p>
            <w:pPr>
              <w:spacing w:line="360" w:lineRule="exact"/>
              <w:ind w:left="-63" w:leftChars="-30" w:right="-76" w:rightChars="-36"/>
              <w:contextualSpacing/>
              <w:jc w:val="center"/>
              <w:rPr>
                <w:rFonts w:hint="eastAsia" w:ascii="Times New Roman" w:hAnsi="Times New Roman" w:eastAsia="黑体"/>
                <w:sz w:val="24"/>
                <w:szCs w:val="24"/>
                <w:lang w:eastAsia="zh-CN"/>
              </w:rPr>
            </w:pPr>
            <w:r>
              <w:rPr>
                <w:rFonts w:hint="eastAsia" w:ascii="Times New Roman" w:hAnsi="Times New Roman" w:eastAsia="黑体"/>
                <w:sz w:val="24"/>
                <w:szCs w:val="24"/>
              </w:rPr>
              <w:t>（程度）</w:t>
            </w:r>
          </w:p>
        </w:tc>
        <w:tc>
          <w:tcPr>
            <w:tcW w:w="373" w:type="pct"/>
            <w:tcBorders>
              <w:bottom w:val="single" w:color="auto" w:sz="4" w:space="0"/>
            </w:tcBorders>
            <w:noWrap w:val="0"/>
            <w:vAlign w:val="center"/>
          </w:tcPr>
          <w:p>
            <w:pPr>
              <w:spacing w:line="360" w:lineRule="exact"/>
              <w:ind w:left="-63" w:leftChars="-30" w:right="-76" w:rightChars="-36"/>
              <w:contextualSpacing/>
              <w:jc w:val="center"/>
              <w:rPr>
                <w:rFonts w:hint="eastAsia" w:ascii="Times New Roman" w:hAnsi="Times New Roman" w:eastAsia="黑体"/>
                <w:sz w:val="24"/>
                <w:szCs w:val="24"/>
                <w:lang w:eastAsia="zh-CN"/>
              </w:rPr>
            </w:pPr>
            <w:r>
              <w:rPr>
                <w:rFonts w:hint="eastAsia" w:ascii="Times New Roman" w:hAnsi="Times New Roman" w:eastAsia="黑体"/>
                <w:sz w:val="24"/>
                <w:szCs w:val="24"/>
                <w:lang w:eastAsia="zh-CN"/>
              </w:rPr>
              <w:t>高校</w:t>
            </w:r>
          </w:p>
          <w:p>
            <w:pPr>
              <w:spacing w:line="360" w:lineRule="exact"/>
              <w:ind w:left="-63" w:leftChars="-30" w:right="-76" w:rightChars="-36"/>
              <w:contextualSpacing/>
              <w:jc w:val="center"/>
              <w:rPr>
                <w:rFonts w:hint="eastAsia" w:ascii="Times New Roman" w:hAnsi="Times New Roman" w:eastAsia="黑体"/>
                <w:sz w:val="24"/>
                <w:szCs w:val="24"/>
                <w:lang w:eastAsia="zh-CN"/>
              </w:rPr>
            </w:pPr>
            <w:r>
              <w:rPr>
                <w:rFonts w:hint="eastAsia" w:ascii="Times New Roman" w:hAnsi="Times New Roman" w:eastAsia="黑体"/>
                <w:sz w:val="24"/>
                <w:szCs w:val="24"/>
                <w:lang w:eastAsia="zh-CN"/>
              </w:rPr>
              <w:t>自评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tblHeader/>
          <w:jc w:val="center"/>
        </w:trPr>
        <w:tc>
          <w:tcPr>
            <w:tcW w:w="636" w:type="pct"/>
            <w:vMerge w:val="restart"/>
            <w:noWrap w:val="0"/>
            <w:vAlign w:val="center"/>
          </w:tcPr>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A1.党建带团建具体机制</w:t>
            </w:r>
          </w:p>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（16分）</w:t>
            </w:r>
          </w:p>
          <w:p>
            <w:pPr>
              <w:spacing w:line="360" w:lineRule="exact"/>
              <w:contextualSpacing/>
              <w:jc w:val="center"/>
              <w:rPr>
                <w:rFonts w:hint="eastAsia" w:ascii="方正仿宋_GBK" w:hAnsi="方正仿宋_GBK" w:eastAsia="方正仿宋_GBK" w:cs="方正仿宋_GBK"/>
                <w:sz w:val="24"/>
                <w:szCs w:val="24"/>
              </w:rPr>
            </w:pPr>
          </w:p>
        </w:tc>
        <w:tc>
          <w:tcPr>
            <w:tcW w:w="2268" w:type="pct"/>
            <w:tcBorders>
              <w:bottom w:val="single" w:color="auto" w:sz="4" w:space="0"/>
            </w:tcBorders>
            <w:noWrap w:val="0"/>
            <w:vAlign w:val="center"/>
          </w:tcPr>
          <w:p>
            <w:pPr>
              <w:spacing w:line="360" w:lineRule="exact"/>
              <w:contextualSpacing/>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B1.高校共青团工作纳入学校党的建设和思想政治工作总体格局，一体研究部署落实，团的工作和建设在学校党建工作考核中占比不低于10%。</w:t>
            </w:r>
          </w:p>
        </w:tc>
        <w:tc>
          <w:tcPr>
            <w:tcW w:w="418"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是</w:t>
            </w:r>
          </w:p>
        </w:tc>
        <w:tc>
          <w:tcPr>
            <w:tcW w:w="938" w:type="pct"/>
            <w:tcBorders>
              <w:bottom w:val="single" w:color="auto" w:sz="4" w:space="0"/>
            </w:tcBorders>
            <w:noWrap w:val="0"/>
            <w:vAlign w:val="center"/>
          </w:tcPr>
          <w:p>
            <w:pPr>
              <w:spacing w:line="360" w:lineRule="exact"/>
              <w:contextualSpacing/>
              <w:jc w:val="left"/>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重点评估（1）一体研究部署落实情况。（2）考核结果区分度。</w:t>
            </w:r>
          </w:p>
        </w:tc>
        <w:tc>
          <w:tcPr>
            <w:tcW w:w="364"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sz w:val="24"/>
                <w:szCs w:val="24"/>
              </w:rPr>
              <w:t>是/否</w:t>
            </w:r>
          </w:p>
        </w:tc>
        <w:tc>
          <w:tcPr>
            <w:tcW w:w="373"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blHeader/>
          <w:jc w:val="center"/>
        </w:trPr>
        <w:tc>
          <w:tcPr>
            <w:tcW w:w="636" w:type="pct"/>
            <w:vMerge w:val="continue"/>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2268" w:type="pct"/>
            <w:tcBorders>
              <w:bottom w:val="single" w:color="auto" w:sz="4" w:space="0"/>
            </w:tcBorders>
            <w:noWrap w:val="0"/>
            <w:vAlign w:val="center"/>
          </w:tcPr>
          <w:p>
            <w:pPr>
              <w:spacing w:line="360" w:lineRule="exact"/>
              <w:contextualSpacing/>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B2.校、院系两级党委每学期至少召开1次党委（常委）会议专题研究团的工作和建设、听取1次共青团开展学生思想政治工作汇报。</w:t>
            </w:r>
          </w:p>
        </w:tc>
        <w:tc>
          <w:tcPr>
            <w:tcW w:w="418"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938" w:type="pct"/>
            <w:tcBorders>
              <w:bottom w:val="single" w:color="auto" w:sz="4" w:space="0"/>
            </w:tcBorders>
            <w:noWrap w:val="0"/>
            <w:vAlign w:val="center"/>
          </w:tcPr>
          <w:p>
            <w:pPr>
              <w:spacing w:line="360" w:lineRule="exact"/>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重点评估召开专题会议、听取工作汇报情况。</w:t>
            </w:r>
          </w:p>
        </w:tc>
        <w:tc>
          <w:tcPr>
            <w:tcW w:w="364"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是/否</w:t>
            </w:r>
          </w:p>
        </w:tc>
        <w:tc>
          <w:tcPr>
            <w:tcW w:w="373"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tblHeader/>
          <w:jc w:val="center"/>
        </w:trPr>
        <w:tc>
          <w:tcPr>
            <w:tcW w:w="636" w:type="pct"/>
            <w:vMerge w:val="continue"/>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2268" w:type="pct"/>
            <w:tcBorders>
              <w:bottom w:val="single" w:color="auto" w:sz="4" w:space="0"/>
            </w:tcBorders>
            <w:noWrap w:val="0"/>
            <w:vAlign w:val="center"/>
          </w:tcPr>
          <w:p>
            <w:pPr>
              <w:spacing w:line="360" w:lineRule="exact"/>
              <w:contextualSpacing/>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B3.指导建立高校共青团思想政治工作评价指标体系，强化督导考核，对落实意识形态工作责任制、防范化解风险或其他重大工作不力，造成严重不良影响的团组织和团干部，高校党委应对其严肃问责。</w:t>
            </w:r>
          </w:p>
        </w:tc>
        <w:tc>
          <w:tcPr>
            <w:tcW w:w="418"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是</w:t>
            </w:r>
          </w:p>
        </w:tc>
        <w:tc>
          <w:tcPr>
            <w:tcW w:w="938" w:type="pct"/>
            <w:tcBorders>
              <w:bottom w:val="single" w:color="auto" w:sz="4" w:space="0"/>
            </w:tcBorders>
            <w:noWrap w:val="0"/>
            <w:vAlign w:val="center"/>
          </w:tcPr>
          <w:p>
            <w:pPr>
              <w:spacing w:line="360" w:lineRule="exact"/>
              <w:contextualSpacing/>
              <w:jc w:val="left"/>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重点评估是否建立相应工作体系、责任落实情况。</w:t>
            </w:r>
          </w:p>
        </w:tc>
        <w:tc>
          <w:tcPr>
            <w:tcW w:w="364"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sz w:val="24"/>
                <w:szCs w:val="24"/>
              </w:rPr>
              <w:t>是/否</w:t>
            </w:r>
          </w:p>
        </w:tc>
        <w:tc>
          <w:tcPr>
            <w:tcW w:w="373"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blHeader/>
          <w:jc w:val="center"/>
        </w:trPr>
        <w:tc>
          <w:tcPr>
            <w:tcW w:w="636" w:type="pct"/>
            <w:vMerge w:val="continue"/>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2268" w:type="pct"/>
            <w:tcBorders>
              <w:bottom w:val="single" w:color="auto" w:sz="4" w:space="0"/>
            </w:tcBorders>
            <w:noWrap w:val="0"/>
            <w:vAlign w:val="center"/>
          </w:tcPr>
          <w:p>
            <w:pPr>
              <w:spacing w:line="360" w:lineRule="exact"/>
              <w:contextualSpacing/>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B4.建立学生党员在基层一线为党做青年工作、发挥模范带头作用的机制，有学生党员的学生团支部原则上由学生党员担任团支部书记。</w:t>
            </w:r>
          </w:p>
        </w:tc>
        <w:tc>
          <w:tcPr>
            <w:tcW w:w="418"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是</w:t>
            </w:r>
          </w:p>
        </w:tc>
        <w:tc>
          <w:tcPr>
            <w:tcW w:w="938" w:type="pct"/>
            <w:tcBorders>
              <w:bottom w:val="single" w:color="auto" w:sz="4" w:space="0"/>
            </w:tcBorders>
            <w:noWrap w:val="0"/>
            <w:vAlign w:val="center"/>
          </w:tcPr>
          <w:p>
            <w:pPr>
              <w:spacing w:line="360" w:lineRule="exact"/>
              <w:contextualSpacing/>
              <w:jc w:val="left"/>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重点评估是否建立相应机制。</w:t>
            </w:r>
          </w:p>
        </w:tc>
        <w:tc>
          <w:tcPr>
            <w:tcW w:w="364"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sz w:val="24"/>
                <w:szCs w:val="24"/>
              </w:rPr>
              <w:t>是/否</w:t>
            </w:r>
          </w:p>
        </w:tc>
        <w:tc>
          <w:tcPr>
            <w:tcW w:w="373"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636" w:type="pct"/>
            <w:vMerge w:val="restart"/>
            <w:noWrap w:val="0"/>
            <w:vAlign w:val="center"/>
          </w:tcPr>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A2.高校团学组织体系</w:t>
            </w:r>
          </w:p>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（16分）</w:t>
            </w:r>
          </w:p>
        </w:tc>
        <w:tc>
          <w:tcPr>
            <w:tcW w:w="2268" w:type="pct"/>
            <w:tcBorders>
              <w:bottom w:val="single" w:color="auto" w:sz="4" w:space="0"/>
            </w:tcBorders>
            <w:noWrap w:val="0"/>
            <w:vAlign w:val="center"/>
          </w:tcPr>
          <w:p>
            <w:pPr>
              <w:spacing w:line="360" w:lineRule="exact"/>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B5.坚持党的全面领导，学生会组织建设纳入学校党建工作整体规划，党组织每年至少听取1次学生会组织工作汇报。</w:t>
            </w:r>
          </w:p>
        </w:tc>
        <w:tc>
          <w:tcPr>
            <w:tcW w:w="418"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938" w:type="pct"/>
            <w:tcBorders>
              <w:bottom w:val="single" w:color="auto" w:sz="4" w:space="0"/>
            </w:tcBorders>
            <w:noWrap w:val="0"/>
            <w:vAlign w:val="center"/>
          </w:tcPr>
          <w:p>
            <w:pPr>
              <w:spacing w:line="360" w:lineRule="exact"/>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重点评估学生会建设纳入党建工作规划和向党组织工作汇报开展情况。</w:t>
            </w:r>
          </w:p>
        </w:tc>
        <w:tc>
          <w:tcPr>
            <w:tcW w:w="364"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ABCD</w:t>
            </w:r>
          </w:p>
        </w:tc>
        <w:tc>
          <w:tcPr>
            <w:tcW w:w="373"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636" w:type="pct"/>
            <w:vMerge w:val="continue"/>
            <w:noWrap w:val="0"/>
            <w:vAlign w:val="center"/>
          </w:tcPr>
          <w:p>
            <w:pPr>
              <w:spacing w:line="360" w:lineRule="exact"/>
              <w:contextualSpacing/>
              <w:jc w:val="left"/>
              <w:rPr>
                <w:rFonts w:hint="eastAsia" w:ascii="方正仿宋_GBK" w:hAnsi="方正仿宋_GBK" w:eastAsia="方正仿宋_GBK" w:cs="方正仿宋_GBK"/>
                <w:sz w:val="24"/>
                <w:szCs w:val="24"/>
              </w:rPr>
            </w:pPr>
          </w:p>
        </w:tc>
        <w:tc>
          <w:tcPr>
            <w:tcW w:w="2268" w:type="pct"/>
            <w:tcBorders>
              <w:bottom w:val="single" w:color="auto" w:sz="4" w:space="0"/>
            </w:tcBorders>
            <w:noWrap w:val="0"/>
            <w:vAlign w:val="center"/>
          </w:tcPr>
          <w:p>
            <w:pPr>
              <w:spacing w:line="360" w:lineRule="exact"/>
              <w:contextualSpacing/>
              <w:jc w:val="left"/>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B6.压实校、院系团组织对学生会、学生社团指导管理的工作责任，每学期分别召开专题会议研究联系指导学生会、学生社团工作。</w:t>
            </w:r>
          </w:p>
        </w:tc>
        <w:tc>
          <w:tcPr>
            <w:tcW w:w="418"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是</w:t>
            </w:r>
          </w:p>
        </w:tc>
        <w:tc>
          <w:tcPr>
            <w:tcW w:w="938" w:type="pct"/>
            <w:tcBorders>
              <w:bottom w:val="single" w:color="auto" w:sz="4" w:space="0"/>
            </w:tcBorders>
            <w:noWrap w:val="0"/>
            <w:vAlign w:val="center"/>
          </w:tcPr>
          <w:p>
            <w:pPr>
              <w:spacing w:line="360" w:lineRule="exact"/>
              <w:contextualSpacing/>
              <w:jc w:val="left"/>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重点评估对学生会、学生社团的联系指导情况。</w:t>
            </w:r>
          </w:p>
        </w:tc>
        <w:tc>
          <w:tcPr>
            <w:tcW w:w="364"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sz w:val="24"/>
                <w:szCs w:val="24"/>
              </w:rPr>
              <w:t>是/否</w:t>
            </w:r>
          </w:p>
        </w:tc>
        <w:tc>
          <w:tcPr>
            <w:tcW w:w="373"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636" w:type="pct"/>
            <w:vMerge w:val="continue"/>
            <w:noWrap w:val="0"/>
            <w:vAlign w:val="center"/>
          </w:tcPr>
          <w:p>
            <w:pPr>
              <w:spacing w:line="360" w:lineRule="exact"/>
              <w:contextualSpacing/>
              <w:jc w:val="left"/>
              <w:rPr>
                <w:rFonts w:hint="eastAsia" w:ascii="方正仿宋_GBK" w:hAnsi="方正仿宋_GBK" w:eastAsia="方正仿宋_GBK" w:cs="方正仿宋_GBK"/>
                <w:sz w:val="24"/>
                <w:szCs w:val="24"/>
              </w:rPr>
            </w:pPr>
          </w:p>
        </w:tc>
        <w:tc>
          <w:tcPr>
            <w:tcW w:w="2268" w:type="pct"/>
            <w:tcBorders>
              <w:bottom w:val="single" w:color="auto" w:sz="4" w:space="0"/>
            </w:tcBorders>
            <w:noWrap w:val="0"/>
            <w:vAlign w:val="center"/>
          </w:tcPr>
          <w:p>
            <w:pPr>
              <w:spacing w:line="360" w:lineRule="exact"/>
              <w:contextualSpacing/>
              <w:jc w:val="left"/>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B7.创新团的组织体系，激发班级团支部活力，探索设置贴近学生的功能型团组织，普遍建立学生会、学生社团团（总）支部。</w:t>
            </w:r>
          </w:p>
        </w:tc>
        <w:tc>
          <w:tcPr>
            <w:tcW w:w="418"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是</w:t>
            </w:r>
          </w:p>
        </w:tc>
        <w:tc>
          <w:tcPr>
            <w:tcW w:w="938" w:type="pct"/>
            <w:tcBorders>
              <w:bottom w:val="single" w:color="auto" w:sz="4" w:space="0"/>
            </w:tcBorders>
            <w:noWrap w:val="0"/>
            <w:vAlign w:val="center"/>
          </w:tcPr>
          <w:p>
            <w:pPr>
              <w:spacing w:line="360" w:lineRule="exact"/>
              <w:contextualSpacing/>
              <w:jc w:val="left"/>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重点评估（1）学生会未建团的评价为D。（2）学生社团建团情况。</w:t>
            </w:r>
          </w:p>
        </w:tc>
        <w:tc>
          <w:tcPr>
            <w:tcW w:w="364"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sz w:val="24"/>
                <w:szCs w:val="24"/>
              </w:rPr>
              <w:t>ABCD</w:t>
            </w:r>
          </w:p>
        </w:tc>
        <w:tc>
          <w:tcPr>
            <w:tcW w:w="373"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636" w:type="pct"/>
            <w:vMerge w:val="continue"/>
            <w:noWrap w:val="0"/>
            <w:vAlign w:val="center"/>
          </w:tcPr>
          <w:p>
            <w:pPr>
              <w:spacing w:line="360" w:lineRule="exact"/>
              <w:contextualSpacing/>
              <w:jc w:val="left"/>
              <w:rPr>
                <w:rFonts w:hint="eastAsia" w:ascii="方正仿宋_GBK" w:hAnsi="方正仿宋_GBK" w:eastAsia="方正仿宋_GBK" w:cs="方正仿宋_GBK"/>
                <w:sz w:val="24"/>
                <w:szCs w:val="24"/>
              </w:rPr>
            </w:pPr>
          </w:p>
        </w:tc>
        <w:tc>
          <w:tcPr>
            <w:tcW w:w="2268" w:type="pct"/>
            <w:tcBorders>
              <w:bottom w:val="single" w:color="auto" w:sz="4" w:space="0"/>
            </w:tcBorders>
            <w:noWrap w:val="0"/>
            <w:vAlign w:val="center"/>
          </w:tcPr>
          <w:p>
            <w:pPr>
              <w:spacing w:line="360" w:lineRule="exact"/>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B8.依规依程序优先推荐班级和学生社团团（总）支部委员担任学生代表大会代表，学生会骨干人选、学生社团负责人必须经团组织前置把关、报相应党组织批准。</w:t>
            </w:r>
          </w:p>
        </w:tc>
        <w:tc>
          <w:tcPr>
            <w:tcW w:w="418"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938" w:type="pct"/>
            <w:tcBorders>
              <w:bottom w:val="single" w:color="auto" w:sz="4" w:space="0"/>
            </w:tcBorders>
            <w:noWrap w:val="0"/>
            <w:vAlign w:val="center"/>
          </w:tcPr>
          <w:p>
            <w:pPr>
              <w:spacing w:line="360" w:lineRule="exact"/>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重点评估（1）学生代表中团（总）支部委员比例。（2）相关人员任免程序是否规范。</w:t>
            </w:r>
          </w:p>
        </w:tc>
        <w:tc>
          <w:tcPr>
            <w:tcW w:w="364"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ABCD</w:t>
            </w:r>
          </w:p>
        </w:tc>
        <w:tc>
          <w:tcPr>
            <w:tcW w:w="373"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blHeader/>
          <w:jc w:val="center"/>
        </w:trPr>
        <w:tc>
          <w:tcPr>
            <w:tcW w:w="636" w:type="pct"/>
            <w:vMerge w:val="restart"/>
            <w:noWrap w:val="0"/>
            <w:vAlign w:val="center"/>
          </w:tcPr>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A3.高校团组织书记履职</w:t>
            </w:r>
          </w:p>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（12分）</w:t>
            </w:r>
          </w:p>
          <w:p>
            <w:pPr>
              <w:spacing w:line="360" w:lineRule="exact"/>
              <w:contextualSpacing/>
              <w:rPr>
                <w:rFonts w:hint="eastAsia" w:ascii="方正仿宋_GBK" w:hAnsi="方正仿宋_GBK" w:eastAsia="方正仿宋_GBK" w:cs="方正仿宋_GBK"/>
                <w:sz w:val="24"/>
                <w:szCs w:val="24"/>
              </w:rPr>
            </w:pPr>
          </w:p>
        </w:tc>
        <w:tc>
          <w:tcPr>
            <w:tcW w:w="2268" w:type="pct"/>
            <w:noWrap w:val="0"/>
            <w:vAlign w:val="center"/>
          </w:tcPr>
          <w:p>
            <w:pPr>
              <w:spacing w:line="360" w:lineRule="exact"/>
              <w:contextualSpacing/>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B9.围绕“三力一度两保障”工作格局，明确校、院系、班级团组织书记在学生思想政治引领、服务大局服务青年、基层组织建设以及深化团学改革、全面从严治团等重点工作中的具体目标。</w:t>
            </w:r>
          </w:p>
        </w:tc>
        <w:tc>
          <w:tcPr>
            <w:tcW w:w="418" w:type="pct"/>
            <w:noWrap w:val="0"/>
            <w:vAlign w:val="center"/>
          </w:tcPr>
          <w:p>
            <w:pPr>
              <w:spacing w:line="360" w:lineRule="exact"/>
              <w:contextualSpacing/>
              <w:jc w:val="center"/>
              <w:rPr>
                <w:rFonts w:hint="eastAsia" w:ascii="方正仿宋_GBK" w:hAnsi="方正仿宋_GBK" w:eastAsia="方正仿宋_GBK" w:cs="方正仿宋_GBK"/>
                <w:strike/>
                <w:sz w:val="24"/>
                <w:szCs w:val="24"/>
              </w:rPr>
            </w:pPr>
          </w:p>
        </w:tc>
        <w:tc>
          <w:tcPr>
            <w:tcW w:w="938" w:type="pct"/>
            <w:tcBorders>
              <w:bottom w:val="single" w:color="auto" w:sz="4" w:space="0"/>
            </w:tcBorders>
            <w:noWrap w:val="0"/>
            <w:vAlign w:val="center"/>
          </w:tcPr>
          <w:p>
            <w:pPr>
              <w:spacing w:line="360" w:lineRule="exact"/>
              <w:contextualSpacing/>
              <w:jc w:val="left"/>
              <w:rPr>
                <w:rFonts w:hint="eastAsia" w:ascii="方正仿宋_GBK" w:hAnsi="方正仿宋_GBK" w:eastAsia="方正仿宋_GBK" w:cs="方正仿宋_GBK"/>
                <w:strike/>
                <w:sz w:val="24"/>
                <w:szCs w:val="24"/>
              </w:rPr>
            </w:pPr>
            <w:r>
              <w:rPr>
                <w:rFonts w:hint="eastAsia" w:ascii="方正仿宋_GBK" w:hAnsi="方正仿宋_GBK" w:eastAsia="方正仿宋_GBK" w:cs="方正仿宋_GBK"/>
                <w:sz w:val="24"/>
                <w:szCs w:val="24"/>
              </w:rPr>
              <w:t>重点评估各级团组织书记是否有明确的任务目标责任。</w:t>
            </w:r>
          </w:p>
        </w:tc>
        <w:tc>
          <w:tcPr>
            <w:tcW w:w="364"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strike/>
                <w:kern w:val="2"/>
                <w:sz w:val="24"/>
                <w:szCs w:val="24"/>
                <w:lang w:val="en-US" w:eastAsia="zh-CN" w:bidi="ar-SA"/>
              </w:rPr>
            </w:pPr>
            <w:r>
              <w:rPr>
                <w:rFonts w:hint="eastAsia" w:ascii="方正仿宋_GBK" w:hAnsi="方正仿宋_GBK" w:eastAsia="方正仿宋_GBK" w:cs="方正仿宋_GBK"/>
                <w:sz w:val="24"/>
                <w:szCs w:val="24"/>
              </w:rPr>
              <w:t>是/否</w:t>
            </w:r>
          </w:p>
        </w:tc>
        <w:tc>
          <w:tcPr>
            <w:tcW w:w="373"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36" w:type="pct"/>
            <w:vMerge w:val="continue"/>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2268" w:type="pct"/>
            <w:noWrap w:val="0"/>
            <w:vAlign w:val="center"/>
          </w:tcPr>
          <w:p>
            <w:pPr>
              <w:spacing w:line="360" w:lineRule="exact"/>
              <w:contextualSpacing/>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rPr>
              <w:t>B10.抓实基层团组织书记述职评议考核制度在高校的落实，每年至少开展1次基层团组织书记述职评议考核。</w:t>
            </w:r>
          </w:p>
        </w:tc>
        <w:tc>
          <w:tcPr>
            <w:tcW w:w="418" w:type="pct"/>
            <w:noWrap w:val="0"/>
            <w:vAlign w:val="center"/>
          </w:tcPr>
          <w:p>
            <w:pPr>
              <w:spacing w:line="360" w:lineRule="exact"/>
              <w:contextualSpacing/>
              <w:jc w:val="left"/>
              <w:rPr>
                <w:rFonts w:hint="eastAsia" w:ascii="方正仿宋_GBK" w:hAnsi="方正仿宋_GBK" w:eastAsia="方正仿宋_GBK" w:cs="方正仿宋_GBK"/>
                <w:sz w:val="24"/>
                <w:szCs w:val="24"/>
              </w:rPr>
            </w:pPr>
          </w:p>
        </w:tc>
        <w:tc>
          <w:tcPr>
            <w:tcW w:w="938" w:type="pct"/>
            <w:tcBorders>
              <w:bottom w:val="single" w:color="auto" w:sz="4" w:space="0"/>
            </w:tcBorders>
            <w:noWrap w:val="0"/>
            <w:vAlign w:val="center"/>
          </w:tcPr>
          <w:p>
            <w:pPr>
              <w:spacing w:line="360" w:lineRule="exact"/>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重点评估基层团组织书记述职评议开展情况。</w:t>
            </w:r>
          </w:p>
        </w:tc>
        <w:tc>
          <w:tcPr>
            <w:tcW w:w="364"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是/否</w:t>
            </w:r>
          </w:p>
        </w:tc>
        <w:tc>
          <w:tcPr>
            <w:tcW w:w="373"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tblHeader/>
          <w:jc w:val="center"/>
        </w:trPr>
        <w:tc>
          <w:tcPr>
            <w:tcW w:w="636" w:type="pct"/>
            <w:vMerge w:val="continue"/>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2268" w:type="pct"/>
            <w:tcBorders>
              <w:bottom w:val="single" w:color="auto" w:sz="4" w:space="0"/>
            </w:tcBorders>
            <w:noWrap w:val="0"/>
            <w:vAlign w:val="center"/>
          </w:tcPr>
          <w:p>
            <w:pPr>
              <w:spacing w:line="360" w:lineRule="exact"/>
              <w:contextualSpacing/>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B11.每年开展高校团委书记满意度评价，主要由院系、班级等基层团组织书记和团员青年代表参加，结果向高校党委反馈、作为干部考核使用的重要参考。连续两年评价结果较差的，上级团组织应建议高校党委予以调整。</w:t>
            </w:r>
          </w:p>
        </w:tc>
        <w:tc>
          <w:tcPr>
            <w:tcW w:w="418"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是</w:t>
            </w:r>
          </w:p>
        </w:tc>
        <w:tc>
          <w:tcPr>
            <w:tcW w:w="938" w:type="pct"/>
            <w:tcBorders>
              <w:bottom w:val="single" w:color="auto" w:sz="4" w:space="0"/>
            </w:tcBorders>
            <w:noWrap w:val="0"/>
            <w:vAlign w:val="center"/>
          </w:tcPr>
          <w:p>
            <w:pPr>
              <w:spacing w:line="360" w:lineRule="exact"/>
              <w:contextualSpacing/>
              <w:jc w:val="left"/>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重点评估（1）是否向党组织反馈结果。（2）结果运用情况。</w:t>
            </w:r>
          </w:p>
        </w:tc>
        <w:tc>
          <w:tcPr>
            <w:tcW w:w="364"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sz w:val="24"/>
                <w:szCs w:val="24"/>
              </w:rPr>
              <w:t>是/否</w:t>
            </w:r>
          </w:p>
        </w:tc>
        <w:tc>
          <w:tcPr>
            <w:tcW w:w="373" w:type="pct"/>
            <w:tcBorders>
              <w:bottom w:val="single" w:color="auto" w:sz="4" w:space="0"/>
            </w:tcBorders>
            <w:noWrap w:val="0"/>
            <w:vAlign w:val="center"/>
          </w:tcPr>
          <w:p>
            <w:pPr>
              <w:spacing w:line="360" w:lineRule="exact"/>
              <w:contextualSpacing/>
              <w:jc w:val="center"/>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636" w:type="pct"/>
            <w:vMerge w:val="restart"/>
            <w:noWrap w:val="0"/>
            <w:vAlign w:val="center"/>
          </w:tcPr>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A4.团支部</w:t>
            </w:r>
          </w:p>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政治理论学习</w:t>
            </w:r>
          </w:p>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（8分）</w:t>
            </w:r>
          </w:p>
        </w:tc>
        <w:tc>
          <w:tcPr>
            <w:tcW w:w="2268" w:type="pct"/>
            <w:noWrap w:val="0"/>
            <w:vAlign w:val="center"/>
          </w:tcPr>
          <w:p>
            <w:pPr>
              <w:spacing w:line="360" w:lineRule="exact"/>
              <w:contextualSpacing/>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B12.严格落实“三会两制一课”基本制度，开展率不低于95%。着力增强团支部政治教育功能，推动理论学习规范化。</w:t>
            </w:r>
          </w:p>
        </w:tc>
        <w:tc>
          <w:tcPr>
            <w:tcW w:w="418" w:type="pct"/>
            <w:noWrap w:val="0"/>
            <w:vAlign w:val="center"/>
          </w:tcPr>
          <w:p>
            <w:pPr>
              <w:spacing w:line="360" w:lineRule="exact"/>
              <w:contextualSpacing/>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是</w:t>
            </w:r>
          </w:p>
        </w:tc>
        <w:tc>
          <w:tcPr>
            <w:tcW w:w="938" w:type="pct"/>
            <w:noWrap w:val="0"/>
            <w:vAlign w:val="center"/>
          </w:tcPr>
          <w:p>
            <w:pPr>
              <w:spacing w:line="360" w:lineRule="exact"/>
              <w:contextualSpacing/>
              <w:jc w:val="left"/>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依托“智慧团建”系统监测，相关指标低于指定比例的不合格。</w:t>
            </w:r>
          </w:p>
        </w:tc>
        <w:tc>
          <w:tcPr>
            <w:tcW w:w="364" w:type="pct"/>
            <w:noWrap w:val="0"/>
            <w:vAlign w:val="center"/>
          </w:tcPr>
          <w:p>
            <w:pPr>
              <w:spacing w:line="360" w:lineRule="exact"/>
              <w:contextualSpacing/>
              <w:jc w:val="center"/>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sz w:val="24"/>
                <w:szCs w:val="24"/>
              </w:rPr>
              <w:t>是/否</w:t>
            </w:r>
          </w:p>
        </w:tc>
        <w:tc>
          <w:tcPr>
            <w:tcW w:w="373" w:type="pct"/>
            <w:noWrap w:val="0"/>
            <w:vAlign w:val="center"/>
          </w:tcPr>
          <w:p>
            <w:pPr>
              <w:spacing w:line="360" w:lineRule="exact"/>
              <w:contextualSpacing/>
              <w:jc w:val="center"/>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636" w:type="pct"/>
            <w:vMerge w:val="continue"/>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2268" w:type="pct"/>
            <w:noWrap w:val="0"/>
            <w:vAlign w:val="center"/>
          </w:tcPr>
          <w:p>
            <w:pPr>
              <w:spacing w:line="360" w:lineRule="exact"/>
              <w:contextualSpacing/>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B13.团中央、省级团委每学期发布学习指引、加强内容供给，高校团委每学期制定学习计划，每个团支部每学年至少组织化开展6次集中理论学习，每次学习参与率不低于95%。</w:t>
            </w:r>
          </w:p>
        </w:tc>
        <w:tc>
          <w:tcPr>
            <w:tcW w:w="418" w:type="pct"/>
            <w:noWrap w:val="0"/>
            <w:vAlign w:val="center"/>
          </w:tcPr>
          <w:p>
            <w:pPr>
              <w:spacing w:line="360" w:lineRule="exact"/>
              <w:contextualSpacing/>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是</w:t>
            </w:r>
          </w:p>
        </w:tc>
        <w:tc>
          <w:tcPr>
            <w:tcW w:w="938" w:type="pct"/>
            <w:noWrap w:val="0"/>
            <w:vAlign w:val="center"/>
          </w:tcPr>
          <w:p>
            <w:pPr>
              <w:spacing w:line="360" w:lineRule="exact"/>
              <w:contextualSpacing/>
              <w:jc w:val="left"/>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重点评估团支部集中理论学习开展情况。</w:t>
            </w:r>
          </w:p>
        </w:tc>
        <w:tc>
          <w:tcPr>
            <w:tcW w:w="364" w:type="pct"/>
            <w:noWrap w:val="0"/>
            <w:vAlign w:val="center"/>
          </w:tcPr>
          <w:p>
            <w:pPr>
              <w:spacing w:line="360" w:lineRule="exact"/>
              <w:contextualSpacing/>
              <w:jc w:val="center"/>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sz w:val="24"/>
                <w:szCs w:val="24"/>
              </w:rPr>
              <w:t>ABCD</w:t>
            </w:r>
          </w:p>
        </w:tc>
        <w:tc>
          <w:tcPr>
            <w:tcW w:w="373" w:type="pct"/>
            <w:noWrap w:val="0"/>
            <w:vAlign w:val="center"/>
          </w:tcPr>
          <w:p>
            <w:pPr>
              <w:spacing w:line="360" w:lineRule="exact"/>
              <w:contextualSpacing/>
              <w:jc w:val="center"/>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2" w:hRule="atLeast"/>
          <w:jc w:val="center"/>
        </w:trPr>
        <w:tc>
          <w:tcPr>
            <w:tcW w:w="636" w:type="pct"/>
            <w:vMerge w:val="restart"/>
            <w:noWrap w:val="0"/>
            <w:vAlign w:val="center"/>
          </w:tcPr>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A5.社会实践</w:t>
            </w:r>
          </w:p>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（8分）</w:t>
            </w:r>
          </w:p>
        </w:tc>
        <w:tc>
          <w:tcPr>
            <w:tcW w:w="2268" w:type="pct"/>
            <w:noWrap w:val="0"/>
            <w:vAlign w:val="center"/>
          </w:tcPr>
          <w:p>
            <w:pPr>
              <w:spacing w:line="360" w:lineRule="exact"/>
              <w:contextualSpacing/>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B14.统筹校内校外共青团组织资源，每个团支部每学期至少开展1次校外考察实践、职业体验、劳动教育、志愿服务等活动。实施大学生社区实践计划，每年常态化组织不少于25%的团支部开展团员青年向城乡社区和青年之家报到。</w:t>
            </w:r>
          </w:p>
        </w:tc>
        <w:tc>
          <w:tcPr>
            <w:tcW w:w="418" w:type="pct"/>
            <w:noWrap w:val="0"/>
            <w:vAlign w:val="center"/>
          </w:tcPr>
          <w:p>
            <w:pPr>
              <w:spacing w:line="360" w:lineRule="exact"/>
              <w:contextualSpacing/>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是</w:t>
            </w:r>
          </w:p>
        </w:tc>
        <w:tc>
          <w:tcPr>
            <w:tcW w:w="938" w:type="pct"/>
            <w:noWrap w:val="0"/>
            <w:vAlign w:val="center"/>
          </w:tcPr>
          <w:p>
            <w:pPr>
              <w:spacing w:line="360" w:lineRule="exact"/>
              <w:contextualSpacing/>
              <w:jc w:val="left"/>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重点评估（1）以团支部为基本单位开展的实践教育情况。（2）大学生社区实践计划开展情况。（3）根据各地防疫要求、社区承载力等实际情况，评估标准可适当降低。</w:t>
            </w:r>
          </w:p>
        </w:tc>
        <w:tc>
          <w:tcPr>
            <w:tcW w:w="364" w:type="pct"/>
            <w:noWrap w:val="0"/>
            <w:vAlign w:val="center"/>
          </w:tcPr>
          <w:p>
            <w:pPr>
              <w:spacing w:line="360" w:lineRule="exact"/>
              <w:contextualSpacing/>
              <w:jc w:val="center"/>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sz w:val="24"/>
                <w:szCs w:val="24"/>
              </w:rPr>
              <w:t>ABCD</w:t>
            </w:r>
          </w:p>
        </w:tc>
        <w:tc>
          <w:tcPr>
            <w:tcW w:w="373" w:type="pct"/>
            <w:noWrap w:val="0"/>
            <w:vAlign w:val="center"/>
          </w:tcPr>
          <w:p>
            <w:pPr>
              <w:spacing w:line="360" w:lineRule="exact"/>
              <w:contextualSpacing/>
              <w:jc w:val="center"/>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636" w:type="pct"/>
            <w:vMerge w:val="continue"/>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2268" w:type="pct"/>
            <w:noWrap w:val="0"/>
            <w:vAlign w:val="center"/>
          </w:tcPr>
          <w:p>
            <w:pPr>
              <w:spacing w:line="360" w:lineRule="exact"/>
              <w:contextualSpacing/>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B15.将参与社会实践活动情况纳入学生综合素质评价体系，稳步扩大“第二课堂成绩单”参与面，着力在价值应用上推动校内校外、团内团外相衔接。</w:t>
            </w:r>
          </w:p>
        </w:tc>
        <w:tc>
          <w:tcPr>
            <w:tcW w:w="418" w:type="pct"/>
            <w:noWrap w:val="0"/>
            <w:vAlign w:val="center"/>
          </w:tcPr>
          <w:p>
            <w:pPr>
              <w:spacing w:line="360" w:lineRule="exact"/>
              <w:contextualSpacing/>
              <w:jc w:val="center"/>
              <w:rPr>
                <w:rFonts w:hint="eastAsia" w:ascii="方正仿宋_GBK" w:hAnsi="方正仿宋_GBK" w:eastAsia="方正仿宋_GBK" w:cs="方正仿宋_GBK"/>
                <w:b/>
                <w:bCs/>
                <w:color w:val="FF0000"/>
                <w:sz w:val="24"/>
                <w:szCs w:val="24"/>
              </w:rPr>
            </w:pPr>
            <w:r>
              <w:rPr>
                <w:rFonts w:hint="eastAsia" w:ascii="方正仿宋_GBK" w:hAnsi="方正仿宋_GBK" w:eastAsia="方正仿宋_GBK" w:cs="方正仿宋_GBK"/>
                <w:b/>
                <w:bCs/>
                <w:sz w:val="24"/>
                <w:szCs w:val="24"/>
              </w:rPr>
              <w:t>是</w:t>
            </w:r>
          </w:p>
        </w:tc>
        <w:tc>
          <w:tcPr>
            <w:tcW w:w="938" w:type="pct"/>
            <w:noWrap w:val="0"/>
            <w:vAlign w:val="center"/>
          </w:tcPr>
          <w:p>
            <w:pPr>
              <w:spacing w:line="360" w:lineRule="exact"/>
              <w:contextualSpacing/>
              <w:jc w:val="left"/>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（1）配套制度体系建设情况。（2）“第二课堂成绩单”运用落实情况。</w:t>
            </w:r>
          </w:p>
        </w:tc>
        <w:tc>
          <w:tcPr>
            <w:tcW w:w="364" w:type="pct"/>
            <w:noWrap w:val="0"/>
            <w:vAlign w:val="center"/>
          </w:tcPr>
          <w:p>
            <w:pPr>
              <w:spacing w:line="360" w:lineRule="exact"/>
              <w:contextualSpacing/>
              <w:jc w:val="center"/>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sz w:val="24"/>
                <w:szCs w:val="24"/>
              </w:rPr>
              <w:t>是/否</w:t>
            </w:r>
          </w:p>
        </w:tc>
        <w:tc>
          <w:tcPr>
            <w:tcW w:w="373" w:type="pct"/>
            <w:noWrap w:val="0"/>
            <w:vAlign w:val="center"/>
          </w:tcPr>
          <w:p>
            <w:pPr>
              <w:spacing w:line="360" w:lineRule="exact"/>
              <w:contextualSpacing/>
              <w:jc w:val="center"/>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636" w:type="pct"/>
            <w:vMerge w:val="restart"/>
            <w:noWrap w:val="0"/>
            <w:vAlign w:val="center"/>
          </w:tcPr>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A6.精神素养</w:t>
            </w:r>
          </w:p>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和斗争本领</w:t>
            </w:r>
          </w:p>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（8分）</w:t>
            </w:r>
          </w:p>
          <w:p>
            <w:pPr>
              <w:spacing w:line="360" w:lineRule="exact"/>
              <w:contextualSpacing/>
              <w:jc w:val="center"/>
              <w:rPr>
                <w:rFonts w:hint="eastAsia" w:ascii="方正仿宋_GBK" w:hAnsi="方正仿宋_GBK" w:eastAsia="方正仿宋_GBK" w:cs="方正仿宋_GBK"/>
                <w:sz w:val="24"/>
                <w:szCs w:val="24"/>
              </w:rPr>
            </w:pPr>
          </w:p>
        </w:tc>
        <w:tc>
          <w:tcPr>
            <w:tcW w:w="2268" w:type="pct"/>
            <w:noWrap w:val="0"/>
            <w:vAlign w:val="center"/>
          </w:tcPr>
          <w:p>
            <w:pPr>
              <w:spacing w:line="360" w:lineRule="exact"/>
              <w:contextualSpacing/>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B16.扎实提升西部计划、研究生支教团、希望工程、挑战杯、创青春、振兴杯、志交会等品牌项目的育人内涵。</w:t>
            </w:r>
          </w:p>
        </w:tc>
        <w:tc>
          <w:tcPr>
            <w:tcW w:w="418" w:type="pct"/>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938" w:type="pct"/>
            <w:noWrap w:val="0"/>
            <w:vAlign w:val="center"/>
          </w:tcPr>
          <w:p>
            <w:pPr>
              <w:spacing w:line="360" w:lineRule="exact"/>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重点评估各类团属、团办校外活动参与情况。</w:t>
            </w:r>
          </w:p>
        </w:tc>
        <w:tc>
          <w:tcPr>
            <w:tcW w:w="364" w:type="pct"/>
            <w:noWrap w:val="0"/>
            <w:vAlign w:val="center"/>
          </w:tcPr>
          <w:p>
            <w:pPr>
              <w:spacing w:line="360" w:lineRule="exact"/>
              <w:contextualSpacing/>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ABCD</w:t>
            </w:r>
          </w:p>
        </w:tc>
        <w:tc>
          <w:tcPr>
            <w:tcW w:w="373" w:type="pct"/>
            <w:noWrap w:val="0"/>
            <w:vAlign w:val="center"/>
          </w:tcPr>
          <w:p>
            <w:pPr>
              <w:spacing w:line="360" w:lineRule="exact"/>
              <w:contextualSpacing/>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5" w:hRule="atLeast"/>
          <w:jc w:val="center"/>
        </w:trPr>
        <w:tc>
          <w:tcPr>
            <w:tcW w:w="636" w:type="pct"/>
            <w:vMerge w:val="continue"/>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2268" w:type="pct"/>
            <w:noWrap w:val="0"/>
            <w:vAlign w:val="center"/>
          </w:tcPr>
          <w:p>
            <w:pPr>
              <w:spacing w:line="360" w:lineRule="exact"/>
              <w:contextualSpacing/>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B17.学生党员、团员和“青马工程”学员要发挥示范作用，勇于在生活中和网络上同一切分裂、颠覆、渗透、破坏活动作斗争，旗帜鲜明地反对和抵制拜金主义、享乐主义、极端个人主义、历史虚无主义等错误思潮和思想观念。</w:t>
            </w:r>
          </w:p>
        </w:tc>
        <w:tc>
          <w:tcPr>
            <w:tcW w:w="418" w:type="pct"/>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938" w:type="pct"/>
            <w:noWrap w:val="0"/>
            <w:vAlign w:val="center"/>
          </w:tcPr>
          <w:p>
            <w:pPr>
              <w:spacing w:line="360" w:lineRule="exact"/>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重点评估（1）“青马工程”培训班中开设相关课程情况。（2）如团员和“青马工程”学员出现意识形态问题，该项评价为“D”。</w:t>
            </w:r>
          </w:p>
        </w:tc>
        <w:tc>
          <w:tcPr>
            <w:tcW w:w="364" w:type="pct"/>
            <w:noWrap w:val="0"/>
            <w:vAlign w:val="center"/>
          </w:tcPr>
          <w:p>
            <w:pPr>
              <w:spacing w:line="360" w:lineRule="exact"/>
              <w:contextualSpacing/>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ABCD</w:t>
            </w:r>
          </w:p>
        </w:tc>
        <w:tc>
          <w:tcPr>
            <w:tcW w:w="373" w:type="pct"/>
            <w:noWrap w:val="0"/>
            <w:vAlign w:val="center"/>
          </w:tcPr>
          <w:p>
            <w:pPr>
              <w:spacing w:line="360" w:lineRule="exact"/>
              <w:contextualSpacing/>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636" w:type="pct"/>
            <w:vMerge w:val="restart"/>
            <w:noWrap w:val="0"/>
            <w:vAlign w:val="center"/>
          </w:tcPr>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A7.团支部</w:t>
            </w:r>
          </w:p>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组织机制</w:t>
            </w:r>
          </w:p>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（8分）</w:t>
            </w:r>
          </w:p>
        </w:tc>
        <w:tc>
          <w:tcPr>
            <w:tcW w:w="2268" w:type="pct"/>
            <w:noWrap w:val="0"/>
            <w:vAlign w:val="center"/>
          </w:tcPr>
          <w:p>
            <w:pPr>
              <w:spacing w:line="360" w:lineRule="exact"/>
              <w:contextualSpacing/>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B18.牢固树立工作到支部、到团员的鲜明导向，强化团支部作为共青团工作基本单元的功能，做到团员主要的学习实践活动由支部组织、政治骨干由支部推荐、团内荣誉由支部评议、帮扶对象由支部推选。</w:t>
            </w:r>
          </w:p>
        </w:tc>
        <w:tc>
          <w:tcPr>
            <w:tcW w:w="418" w:type="pct"/>
            <w:noWrap w:val="0"/>
            <w:vAlign w:val="center"/>
          </w:tcPr>
          <w:p>
            <w:pPr>
              <w:spacing w:line="360" w:lineRule="exact"/>
              <w:contextualSpacing/>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是</w:t>
            </w:r>
          </w:p>
        </w:tc>
        <w:tc>
          <w:tcPr>
            <w:tcW w:w="938" w:type="pct"/>
            <w:noWrap w:val="0"/>
            <w:vAlign w:val="center"/>
          </w:tcPr>
          <w:p>
            <w:pPr>
              <w:spacing w:line="360" w:lineRule="exact"/>
              <w:contextualSpacing/>
              <w:jc w:val="left"/>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重点评估（1）组织生活开展情况。（2）支部作用发挥情况。</w:t>
            </w:r>
          </w:p>
        </w:tc>
        <w:tc>
          <w:tcPr>
            <w:tcW w:w="364" w:type="pct"/>
            <w:noWrap w:val="0"/>
            <w:vAlign w:val="center"/>
          </w:tcPr>
          <w:p>
            <w:pPr>
              <w:spacing w:line="360" w:lineRule="exact"/>
              <w:contextualSpacing/>
              <w:jc w:val="center"/>
              <w:rPr>
                <w:rFonts w:hint="eastAsia" w:ascii="方正仿宋_GBK" w:hAnsi="方正仿宋_GBK" w:eastAsia="方正仿宋_GBK" w:cs="方正仿宋_GBK"/>
                <w:b/>
                <w:bCs/>
                <w:strike/>
                <w:kern w:val="2"/>
                <w:sz w:val="24"/>
                <w:szCs w:val="24"/>
                <w:lang w:val="en-US" w:eastAsia="zh-CN" w:bidi="ar-SA"/>
              </w:rPr>
            </w:pPr>
            <w:r>
              <w:rPr>
                <w:rFonts w:hint="eastAsia" w:ascii="方正仿宋_GBK" w:hAnsi="方正仿宋_GBK" w:eastAsia="方正仿宋_GBK" w:cs="方正仿宋_GBK"/>
                <w:b/>
                <w:bCs/>
                <w:sz w:val="24"/>
                <w:szCs w:val="24"/>
              </w:rPr>
              <w:t>ABCD</w:t>
            </w:r>
          </w:p>
        </w:tc>
        <w:tc>
          <w:tcPr>
            <w:tcW w:w="373" w:type="pct"/>
            <w:noWrap w:val="0"/>
            <w:vAlign w:val="center"/>
          </w:tcPr>
          <w:p>
            <w:pPr>
              <w:spacing w:line="360" w:lineRule="exact"/>
              <w:contextualSpacing/>
              <w:jc w:val="center"/>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636" w:type="pct"/>
            <w:vMerge w:val="continue"/>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2268" w:type="pct"/>
            <w:noWrap w:val="0"/>
            <w:vAlign w:val="center"/>
          </w:tcPr>
          <w:p>
            <w:pPr>
              <w:spacing w:line="360" w:lineRule="exact"/>
              <w:contextualSpacing/>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B19.建立团支部书记报告重要事项制度，团支部书记对于同学中涉及政治安全、意识形态、心理健康、宗教活动等影响大学生成长和校园安全稳定的重要信息应及时发现和报告。</w:t>
            </w:r>
          </w:p>
        </w:tc>
        <w:tc>
          <w:tcPr>
            <w:tcW w:w="418" w:type="pct"/>
            <w:noWrap w:val="0"/>
            <w:vAlign w:val="center"/>
          </w:tcPr>
          <w:p>
            <w:pPr>
              <w:spacing w:line="360" w:lineRule="exact"/>
              <w:contextualSpacing/>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是</w:t>
            </w:r>
          </w:p>
        </w:tc>
        <w:tc>
          <w:tcPr>
            <w:tcW w:w="938" w:type="pct"/>
            <w:noWrap w:val="0"/>
            <w:vAlign w:val="center"/>
          </w:tcPr>
          <w:p>
            <w:pPr>
              <w:spacing w:line="360" w:lineRule="exact"/>
              <w:contextualSpacing/>
              <w:jc w:val="left"/>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重点评估相关制度建立、完善、落实情况。</w:t>
            </w:r>
          </w:p>
        </w:tc>
        <w:tc>
          <w:tcPr>
            <w:tcW w:w="364" w:type="pct"/>
            <w:noWrap w:val="0"/>
            <w:vAlign w:val="center"/>
          </w:tcPr>
          <w:p>
            <w:pPr>
              <w:spacing w:line="360" w:lineRule="exact"/>
              <w:contextualSpacing/>
              <w:jc w:val="center"/>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sz w:val="24"/>
                <w:szCs w:val="24"/>
              </w:rPr>
              <w:t>是/否</w:t>
            </w:r>
          </w:p>
        </w:tc>
        <w:tc>
          <w:tcPr>
            <w:tcW w:w="373" w:type="pct"/>
            <w:noWrap w:val="0"/>
            <w:vAlign w:val="center"/>
          </w:tcPr>
          <w:p>
            <w:pPr>
              <w:spacing w:line="360" w:lineRule="exact"/>
              <w:contextualSpacing/>
              <w:jc w:val="center"/>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36" w:type="pct"/>
            <w:vMerge w:val="restart"/>
            <w:noWrap w:val="0"/>
            <w:vAlign w:val="center"/>
          </w:tcPr>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A8.团学骨干</w:t>
            </w:r>
          </w:p>
          <w:p>
            <w:pPr>
              <w:spacing w:line="360" w:lineRule="exact"/>
              <w:contextualSpacing/>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4"/>
                <w:szCs w:val="24"/>
              </w:rPr>
              <w:t>政治举荐</w:t>
            </w:r>
          </w:p>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（12分）</w:t>
            </w:r>
          </w:p>
        </w:tc>
        <w:tc>
          <w:tcPr>
            <w:tcW w:w="2268" w:type="pct"/>
            <w:noWrap w:val="0"/>
            <w:vAlign w:val="center"/>
          </w:tcPr>
          <w:p>
            <w:pPr>
              <w:spacing w:line="360" w:lineRule="exact"/>
              <w:contextualSpacing/>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B20.落实“两个一般、两个主要”要求，建立接续培养机制，形成畅通有序、前后衔接的培养链条。28岁以下新发展党员经团组织规范程序推优入党比例不低于80%。</w:t>
            </w:r>
          </w:p>
        </w:tc>
        <w:tc>
          <w:tcPr>
            <w:tcW w:w="418" w:type="pct"/>
            <w:noWrap w:val="0"/>
            <w:vAlign w:val="center"/>
          </w:tcPr>
          <w:p>
            <w:pPr>
              <w:spacing w:line="360" w:lineRule="exact"/>
              <w:contextualSpacing/>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是</w:t>
            </w:r>
          </w:p>
        </w:tc>
        <w:tc>
          <w:tcPr>
            <w:tcW w:w="938" w:type="pct"/>
            <w:noWrap w:val="0"/>
            <w:vAlign w:val="center"/>
          </w:tcPr>
          <w:p>
            <w:pPr>
              <w:spacing w:line="360" w:lineRule="exact"/>
              <w:contextualSpacing/>
              <w:jc w:val="left"/>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重点评估推优入党比例。</w:t>
            </w:r>
          </w:p>
        </w:tc>
        <w:tc>
          <w:tcPr>
            <w:tcW w:w="364" w:type="pct"/>
            <w:noWrap w:val="0"/>
            <w:vAlign w:val="center"/>
          </w:tcPr>
          <w:p>
            <w:pPr>
              <w:spacing w:line="360" w:lineRule="exact"/>
              <w:contextualSpacing/>
              <w:jc w:val="center"/>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sz w:val="24"/>
                <w:szCs w:val="24"/>
              </w:rPr>
              <w:t>ABCD</w:t>
            </w:r>
          </w:p>
        </w:tc>
        <w:tc>
          <w:tcPr>
            <w:tcW w:w="373" w:type="pct"/>
            <w:noWrap w:val="0"/>
            <w:vAlign w:val="center"/>
          </w:tcPr>
          <w:p>
            <w:pPr>
              <w:spacing w:line="360" w:lineRule="exact"/>
              <w:contextualSpacing/>
              <w:jc w:val="center"/>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636" w:type="pct"/>
            <w:vMerge w:val="continue"/>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2268" w:type="pct"/>
            <w:noWrap w:val="0"/>
            <w:vAlign w:val="center"/>
          </w:tcPr>
          <w:p>
            <w:pPr>
              <w:spacing w:line="360" w:lineRule="exact"/>
              <w:contextualSpacing/>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B21.提升青年马克思主义者培养工程建设质量，突出政治标准和理想信念教育，突出实践特点和基层导向，高校青马工程学员中基层团支部书记、委员占比不低于60%。</w:t>
            </w:r>
          </w:p>
        </w:tc>
        <w:tc>
          <w:tcPr>
            <w:tcW w:w="418" w:type="pct"/>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938" w:type="pct"/>
            <w:noWrap w:val="0"/>
            <w:vAlign w:val="center"/>
          </w:tcPr>
          <w:p>
            <w:pPr>
              <w:spacing w:line="360" w:lineRule="exact"/>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重点评估学员比例。</w:t>
            </w:r>
          </w:p>
        </w:tc>
        <w:tc>
          <w:tcPr>
            <w:tcW w:w="364" w:type="pct"/>
            <w:noWrap w:val="0"/>
            <w:vAlign w:val="center"/>
          </w:tcPr>
          <w:p>
            <w:pPr>
              <w:spacing w:line="360" w:lineRule="exact"/>
              <w:contextualSpacing/>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ABCD</w:t>
            </w:r>
          </w:p>
        </w:tc>
        <w:tc>
          <w:tcPr>
            <w:tcW w:w="373" w:type="pct"/>
            <w:noWrap w:val="0"/>
            <w:vAlign w:val="center"/>
          </w:tcPr>
          <w:p>
            <w:pPr>
              <w:spacing w:line="360" w:lineRule="exact"/>
              <w:contextualSpacing/>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4" w:hRule="atLeast"/>
          <w:jc w:val="center"/>
        </w:trPr>
        <w:tc>
          <w:tcPr>
            <w:tcW w:w="636" w:type="pct"/>
            <w:vMerge w:val="continue"/>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2268" w:type="pct"/>
            <w:noWrap w:val="0"/>
            <w:vAlign w:val="center"/>
          </w:tcPr>
          <w:p>
            <w:pPr>
              <w:spacing w:line="360" w:lineRule="exact"/>
              <w:contextualSpacing/>
              <w:rPr>
                <w:rFonts w:hint="eastAsia" w:ascii="方正仿宋_GBK" w:hAnsi="方正仿宋_GBK" w:eastAsia="方正仿宋_GBK" w:cs="方正仿宋_GBK"/>
                <w:b/>
                <w:bCs/>
                <w:color w:val="FF0000"/>
                <w:sz w:val="24"/>
                <w:szCs w:val="24"/>
              </w:rPr>
            </w:pPr>
            <w:r>
              <w:rPr>
                <w:rFonts w:hint="eastAsia" w:ascii="方正仿宋_GBK" w:hAnsi="方正仿宋_GBK" w:eastAsia="方正仿宋_GBK" w:cs="方正仿宋_GBK"/>
                <w:b/>
                <w:bCs/>
                <w:spacing w:val="-6"/>
                <w:sz w:val="24"/>
                <w:szCs w:val="24"/>
              </w:rPr>
              <w:t>B22.分层分类开展团学骨干教育培训，每年做到“三个全覆盖”。省级团委对高校团委书记、学生会秘书长、校级学生会主席团成员、学生社团管理部门负责人培训全覆盖；高校团委对院系团委书记、新任班级团支部书记、校级学生会工作人员、学生社团团支部书记培训全覆盖；院系团组织对班级团支部委员、院系学生会工作人员培训全覆盖。</w:t>
            </w:r>
          </w:p>
        </w:tc>
        <w:tc>
          <w:tcPr>
            <w:tcW w:w="418" w:type="pct"/>
            <w:noWrap w:val="0"/>
            <w:vAlign w:val="center"/>
          </w:tcPr>
          <w:p>
            <w:pPr>
              <w:spacing w:line="360" w:lineRule="exact"/>
              <w:contextualSpacing/>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是</w:t>
            </w:r>
          </w:p>
        </w:tc>
        <w:tc>
          <w:tcPr>
            <w:tcW w:w="938" w:type="pct"/>
            <w:noWrap w:val="0"/>
            <w:vAlign w:val="center"/>
          </w:tcPr>
          <w:p>
            <w:pPr>
              <w:spacing w:line="360" w:lineRule="exact"/>
              <w:contextualSpacing/>
              <w:jc w:val="left"/>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重点评估做到“三个全覆盖”为A，做到其中2项“全覆盖”为B，做到其中1项“全覆盖”为C，其它为D。</w:t>
            </w:r>
          </w:p>
        </w:tc>
        <w:tc>
          <w:tcPr>
            <w:tcW w:w="364" w:type="pct"/>
            <w:noWrap w:val="0"/>
            <w:vAlign w:val="center"/>
          </w:tcPr>
          <w:p>
            <w:pPr>
              <w:spacing w:line="360" w:lineRule="exact"/>
              <w:contextualSpacing/>
              <w:jc w:val="center"/>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sz w:val="24"/>
                <w:szCs w:val="24"/>
              </w:rPr>
              <w:t>ABCD</w:t>
            </w:r>
          </w:p>
        </w:tc>
        <w:tc>
          <w:tcPr>
            <w:tcW w:w="373" w:type="pct"/>
            <w:noWrap w:val="0"/>
            <w:vAlign w:val="center"/>
          </w:tcPr>
          <w:p>
            <w:pPr>
              <w:spacing w:line="360" w:lineRule="exact"/>
              <w:contextualSpacing/>
              <w:jc w:val="center"/>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636" w:type="pct"/>
            <w:vMerge w:val="restart"/>
            <w:noWrap w:val="0"/>
            <w:vAlign w:val="center"/>
          </w:tcPr>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A9.工作支持</w:t>
            </w:r>
          </w:p>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和保障机制</w:t>
            </w:r>
          </w:p>
          <w:p>
            <w:pPr>
              <w:spacing w:line="360" w:lineRule="exact"/>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（12分）</w:t>
            </w:r>
          </w:p>
        </w:tc>
        <w:tc>
          <w:tcPr>
            <w:tcW w:w="2268" w:type="pct"/>
            <w:noWrap w:val="0"/>
            <w:vAlign w:val="center"/>
          </w:tcPr>
          <w:p>
            <w:pPr>
              <w:spacing w:line="360" w:lineRule="exact"/>
              <w:contextualSpacing/>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B23.高校校级团委应当单独设置，不得随意撤销、降格、减员、合并或归属于其他工作部门，发生此类情况的须予以纠正。</w:t>
            </w:r>
          </w:p>
        </w:tc>
        <w:tc>
          <w:tcPr>
            <w:tcW w:w="418" w:type="pct"/>
            <w:noWrap w:val="0"/>
            <w:vAlign w:val="center"/>
          </w:tcPr>
          <w:p>
            <w:pPr>
              <w:spacing w:line="360" w:lineRule="exact"/>
              <w:contextualSpacing/>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是</w:t>
            </w:r>
          </w:p>
        </w:tc>
        <w:tc>
          <w:tcPr>
            <w:tcW w:w="938" w:type="pct"/>
            <w:noWrap w:val="0"/>
            <w:vAlign w:val="center"/>
          </w:tcPr>
          <w:p>
            <w:pPr>
              <w:spacing w:line="360" w:lineRule="exact"/>
              <w:contextualSpacing/>
              <w:jc w:val="left"/>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重点评估校级团委是否单独设置。</w:t>
            </w:r>
          </w:p>
        </w:tc>
        <w:tc>
          <w:tcPr>
            <w:tcW w:w="364" w:type="pct"/>
            <w:noWrap w:val="0"/>
            <w:vAlign w:val="center"/>
          </w:tcPr>
          <w:p>
            <w:pPr>
              <w:spacing w:line="360" w:lineRule="exact"/>
              <w:contextualSpacing/>
              <w:jc w:val="center"/>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sz w:val="24"/>
                <w:szCs w:val="24"/>
              </w:rPr>
              <w:t>是/否</w:t>
            </w:r>
          </w:p>
        </w:tc>
        <w:tc>
          <w:tcPr>
            <w:tcW w:w="373" w:type="pct"/>
            <w:noWrap w:val="0"/>
            <w:vAlign w:val="center"/>
          </w:tcPr>
          <w:p>
            <w:pPr>
              <w:spacing w:line="360" w:lineRule="exact"/>
              <w:contextualSpacing/>
              <w:jc w:val="center"/>
              <w:rPr>
                <w:rFonts w:hint="eastAsia" w:ascii="方正仿宋_GBK" w:hAnsi="方正仿宋_GBK" w:eastAsia="方正仿宋_GBK" w:cs="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jc w:val="center"/>
        </w:trPr>
        <w:tc>
          <w:tcPr>
            <w:tcW w:w="636" w:type="pct"/>
            <w:vMerge w:val="continue"/>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2268" w:type="pct"/>
            <w:noWrap w:val="0"/>
            <w:vAlign w:val="center"/>
          </w:tcPr>
          <w:p>
            <w:pPr>
              <w:spacing w:line="360" w:lineRule="exact"/>
              <w:contextualSpacing/>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B24.按规定配置校、院系团组织教职工团干部职数，配齐配强团干部特别是团组织书记，出现空缺一般应当在3个月内配齐。常态在岗率不低于85%。</w:t>
            </w:r>
          </w:p>
        </w:tc>
        <w:tc>
          <w:tcPr>
            <w:tcW w:w="418" w:type="pct"/>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938" w:type="pct"/>
            <w:noWrap w:val="0"/>
            <w:vAlign w:val="center"/>
          </w:tcPr>
          <w:p>
            <w:pPr>
              <w:spacing w:line="360" w:lineRule="exact"/>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重点评估团委专职团干部职数，校、院系团组织干部常态在岗率低于75%且超过3个月的评价为D。</w:t>
            </w:r>
          </w:p>
        </w:tc>
        <w:tc>
          <w:tcPr>
            <w:tcW w:w="364" w:type="pct"/>
            <w:noWrap w:val="0"/>
            <w:vAlign w:val="center"/>
          </w:tcPr>
          <w:p>
            <w:pPr>
              <w:spacing w:line="360" w:lineRule="exact"/>
              <w:contextualSpacing/>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ABCD</w:t>
            </w:r>
          </w:p>
        </w:tc>
        <w:tc>
          <w:tcPr>
            <w:tcW w:w="373" w:type="pct"/>
            <w:noWrap w:val="0"/>
            <w:vAlign w:val="center"/>
          </w:tcPr>
          <w:p>
            <w:pPr>
              <w:spacing w:line="360" w:lineRule="exact"/>
              <w:contextualSpacing/>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6" w:type="pct"/>
            <w:vMerge w:val="continue"/>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2268" w:type="pct"/>
            <w:noWrap w:val="0"/>
            <w:vAlign w:val="center"/>
          </w:tcPr>
          <w:p>
            <w:pPr>
              <w:spacing w:line="360" w:lineRule="exact"/>
              <w:contextualSpacing/>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B25.高校应当在活动场所、设施设备、工作经费、工作时间等方面对团的工作予以保障。专职团干部津贴补贴、工作量核算、职级职称晋升、教育培训等应当不低于专职辅导员待遇。</w:t>
            </w:r>
          </w:p>
        </w:tc>
        <w:tc>
          <w:tcPr>
            <w:tcW w:w="418" w:type="pct"/>
            <w:noWrap w:val="0"/>
            <w:vAlign w:val="center"/>
          </w:tcPr>
          <w:p>
            <w:pPr>
              <w:spacing w:line="360" w:lineRule="exact"/>
              <w:contextualSpacing/>
              <w:jc w:val="center"/>
              <w:rPr>
                <w:rFonts w:hint="eastAsia" w:ascii="方正仿宋_GBK" w:hAnsi="方正仿宋_GBK" w:eastAsia="方正仿宋_GBK" w:cs="方正仿宋_GBK"/>
                <w:sz w:val="24"/>
                <w:szCs w:val="24"/>
              </w:rPr>
            </w:pPr>
          </w:p>
        </w:tc>
        <w:tc>
          <w:tcPr>
            <w:tcW w:w="938" w:type="pct"/>
            <w:noWrap w:val="0"/>
            <w:vAlign w:val="center"/>
          </w:tcPr>
          <w:p>
            <w:pPr>
              <w:spacing w:line="360" w:lineRule="exact"/>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重点评估（1）团建经费未纳入党建经费保障的评价为D。（2）重点评估配套制度建设和机制落实情况。</w:t>
            </w:r>
          </w:p>
        </w:tc>
        <w:tc>
          <w:tcPr>
            <w:tcW w:w="364" w:type="pct"/>
            <w:noWrap w:val="0"/>
            <w:vAlign w:val="center"/>
          </w:tcPr>
          <w:p>
            <w:pPr>
              <w:spacing w:line="360" w:lineRule="exact"/>
              <w:contextualSpacing/>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ABCD</w:t>
            </w:r>
          </w:p>
        </w:tc>
        <w:tc>
          <w:tcPr>
            <w:tcW w:w="373" w:type="pct"/>
            <w:noWrap w:val="0"/>
            <w:vAlign w:val="center"/>
          </w:tcPr>
          <w:p>
            <w:pPr>
              <w:spacing w:line="360" w:lineRule="exact"/>
              <w:contextualSpacing/>
              <w:jc w:val="center"/>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5000" w:type="pct"/>
            <w:gridSpan w:val="6"/>
            <w:noWrap w:val="0"/>
            <w:vAlign w:val="center"/>
          </w:tcPr>
          <w:p>
            <w:pPr>
              <w:spacing w:line="360" w:lineRule="exact"/>
              <w:contextualSpacing/>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bCs/>
                <w:sz w:val="32"/>
                <w:szCs w:val="32"/>
                <w:lang w:eastAsia="zh-CN"/>
              </w:rPr>
              <w:t>自评总分：</w:t>
            </w:r>
          </w:p>
        </w:tc>
      </w:tr>
    </w:tbl>
    <w:p>
      <w:pPr>
        <w:spacing w:line="440" w:lineRule="exact"/>
        <w:contextualSpacing/>
        <w:jc w:val="center"/>
        <w:rPr>
          <w:rFonts w:eastAsia="方正小标宋简体"/>
          <w:bCs/>
          <w:sz w:val="44"/>
          <w:szCs w:val="32"/>
        </w:rPr>
      </w:pPr>
    </w:p>
    <w:p>
      <w:pPr>
        <w:spacing w:line="360" w:lineRule="exact"/>
        <w:ind w:left="720" w:hanging="720" w:hangingChars="300"/>
        <w:contextualSpacing/>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注：1. 本评价指标共分解为25项，分值共100分。</w:t>
      </w:r>
    </w:p>
    <w:p>
      <w:pPr>
        <w:spacing w:line="360" w:lineRule="exact"/>
        <w:ind w:firstLine="482" w:firstLineChars="200"/>
        <w:contextualSpacing/>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 xml:space="preserve">2. </w:t>
      </w:r>
      <w:r>
        <w:rPr>
          <w:rFonts w:hint="eastAsia" w:ascii="方正仿宋_GBK" w:hAnsi="方正仿宋_GBK" w:eastAsia="方正仿宋_GBK" w:cs="方正仿宋_GBK"/>
          <w:b/>
          <w:bCs/>
          <w:sz w:val="24"/>
          <w:szCs w:val="24"/>
          <w:lang w:eastAsia="zh-CN"/>
        </w:rPr>
        <w:t>“重</w:t>
      </w:r>
      <w:r>
        <w:rPr>
          <w:rFonts w:hint="eastAsia" w:ascii="方正仿宋_GBK" w:hAnsi="方正仿宋_GBK" w:eastAsia="方正仿宋_GBK" w:cs="方正仿宋_GBK"/>
          <w:b/>
          <w:bCs/>
          <w:sz w:val="24"/>
          <w:szCs w:val="24"/>
        </w:rPr>
        <w:t>点</w:t>
      </w:r>
      <w:r>
        <w:rPr>
          <w:rFonts w:hint="eastAsia" w:ascii="方正仿宋_GBK" w:hAnsi="方正仿宋_GBK" w:eastAsia="方正仿宋_GBK" w:cs="方正仿宋_GBK"/>
          <w:b/>
          <w:bCs/>
          <w:sz w:val="24"/>
          <w:szCs w:val="24"/>
          <w:lang w:eastAsia="zh-CN"/>
        </w:rPr>
        <w:t>改革指标”栏</w:t>
      </w:r>
      <w:r>
        <w:rPr>
          <w:rFonts w:hint="eastAsia" w:ascii="方正仿宋_GBK" w:hAnsi="方正仿宋_GBK" w:eastAsia="方正仿宋_GBK" w:cs="方正仿宋_GBK"/>
          <w:b/>
          <w:bCs/>
          <w:sz w:val="24"/>
          <w:szCs w:val="24"/>
        </w:rPr>
        <w:t>填“是”的为改革创新中需重点突破和巩固的内容。</w:t>
      </w:r>
    </w:p>
    <w:p>
      <w:pPr>
        <w:spacing w:line="360" w:lineRule="exact"/>
        <w:ind w:firstLine="480" w:firstLineChars="200"/>
        <w:contextualSpacing/>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3. 状态评价为“是”或“否”，“是”表示符合要求、该项得满分，“否”表示不符合要求、该项不得分。程度评价为“ABCD”，A表示“好”、该项得满分，B表示“较好”、得该项满分的60%，C表示“一般”、得该项满分的40%，D表示“差”、该项不得分。如，单项分值满分为5分，则ABCD分别对应5分、3分、2分、0分。</w:t>
      </w:r>
    </w:p>
    <w:p>
      <w:pPr>
        <w:spacing w:line="360" w:lineRule="exact"/>
        <w:ind w:firstLine="560" w:firstLineChars="200"/>
        <w:contextualSpacing/>
        <w:rPr>
          <w:rFonts w:ascii="Times New Roman" w:hAnsi="Times New Roman" w:eastAsia="方正仿宋简体"/>
          <w:sz w:val="28"/>
          <w:szCs w:val="28"/>
        </w:rPr>
      </w:pPr>
    </w:p>
    <w:p>
      <w:bookmarkStart w:id="0" w:name="_GoBack"/>
      <w:bookmarkEnd w:id="0"/>
    </w:p>
    <w:sectPr>
      <w:headerReference r:id="rId4" w:type="first"/>
      <w:footerReference r:id="rId7" w:type="first"/>
      <w:footerReference r:id="rId5" w:type="default"/>
      <w:headerReference r:id="rId3" w:type="even"/>
      <w:footerReference r:id="rId6" w:type="even"/>
      <w:pgSz w:w="16838" w:h="11906" w:orient="landscape"/>
      <w:pgMar w:top="1440" w:right="1080" w:bottom="1440" w:left="108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p>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ind w:firstLine="56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GT8E72wEAAMADAAAOAAAAAAAAAAEA&#10;IAAAAB4BAABkcnMvZTJvRG9jLnhtbFBLBQYAAAAABgAGAFkBAABrBQAAAAA=&#10;">
              <v:fill on="f" focussize="0,0"/>
              <v:stroke on="f"/>
              <v:imagedata o:title=""/>
              <o:lock v:ext="edit" aspectratio="f"/>
              <v:textbox inset="0mm,0mm,0mm,0mm" style="mso-fit-shape-to-text:t;">
                <w:txbxContent>
                  <w:p>
                    <w:pPr>
                      <w:pStyle w:val="2"/>
                      <w:ind w:firstLine="56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yYjhmY2Q2OWFlZjQwYmZjMzM3YmE2ODRiMTQ2NzYifQ=="/>
    <w:docVar w:name="KSO_WPS_MARK_KEY" w:val="e3045a96-490a-489f-b9cb-016c8aef51e6"/>
  </w:docVars>
  <w:rsids>
    <w:rsidRoot w:val="4072688B"/>
    <w:rsid w:val="4072688B"/>
    <w:rsid w:val="6CA12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2998</Words>
  <Characters>3162</Characters>
  <Lines>0</Lines>
  <Paragraphs>0</Paragraphs>
  <TotalTime>6</TotalTime>
  <ScaleCrop>false</ScaleCrop>
  <LinksUpToDate>false</LinksUpToDate>
  <CharactersWithSpaces>3165</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2022-12-08T06:47:00Z</dcterms:created>
  <dc:creator>草莓</dc:creator>
  <cp:lastModifiedBy>yam</cp:lastModifiedBy>
  <dcterms:modified xsi:type="dcterms:W3CDTF">2022-12-08T07:53:07Z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D847981CD6CD4B419DE41577018A2EB3</vt:lpwstr>
  </property>
</Properties>
</file>