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54</w:t>
      </w:r>
      <w:bookmarkStart w:id="3" w:name="_GoBack"/>
      <w:bookmarkEnd w:id="3"/>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spacing w:line="560" w:lineRule="exact"/>
        <w:jc w:val="center"/>
        <w:rPr>
          <w:rFonts w:hint="eastAsia" w:ascii="方正大标宋_GBK" w:hAnsi="Times New Roman" w:eastAsia="方正大标宋_GBK" w:cs="Times New Roman"/>
          <w:sz w:val="44"/>
          <w:szCs w:val="44"/>
        </w:rPr>
      </w:pPr>
      <w:r>
        <w:rPr>
          <w:rFonts w:hint="eastAsia" w:ascii="方正大标宋_GBK" w:hAnsi="Times New Roman" w:eastAsia="方正大标宋_GBK" w:cs="Times New Roman"/>
          <w:sz w:val="44"/>
          <w:szCs w:val="44"/>
          <w:lang w:eastAsia="zh-CN"/>
        </w:rPr>
        <w:t>“</w:t>
      </w:r>
      <w:r>
        <w:rPr>
          <w:rFonts w:hint="eastAsia" w:ascii="方正大标宋_GBK" w:hAnsi="Times New Roman" w:eastAsia="方正大标宋_GBK" w:cs="Times New Roman"/>
          <w:sz w:val="44"/>
          <w:szCs w:val="44"/>
        </w:rPr>
        <w:t>青年参与乡村全面振兴的路径探索</w:t>
      </w:r>
    </w:p>
    <w:p>
      <w:pPr>
        <w:spacing w:line="560" w:lineRule="exact"/>
        <w:jc w:val="center"/>
        <w:rPr>
          <w:rFonts w:ascii="方正大标宋_GBK" w:hAnsi="Times New Roman" w:eastAsia="方正大标宋_GBK" w:cs="Times New Roman"/>
          <w:sz w:val="44"/>
          <w:szCs w:val="44"/>
        </w:rPr>
      </w:pPr>
      <w:r>
        <w:rPr>
          <w:rFonts w:hint="eastAsia" w:ascii="方正大标宋_GBK" w:hAnsi="Times New Roman" w:eastAsia="方正大标宋_GBK" w:cs="Times New Roman"/>
          <w:sz w:val="44"/>
          <w:szCs w:val="44"/>
        </w:rPr>
        <w:t>和实践研究</w:t>
      </w:r>
      <w:r>
        <w:rPr>
          <w:rFonts w:hint="eastAsia" w:ascii="方正大标宋_GBK" w:hAnsi="Times New Roman" w:eastAsia="方正大标宋_GBK" w:cs="Times New Roman"/>
          <w:sz w:val="44"/>
          <w:szCs w:val="44"/>
          <w:lang w:eastAsia="zh-CN"/>
        </w:rPr>
        <w:t>”</w:t>
      </w:r>
      <w:r>
        <w:rPr>
          <w:rFonts w:hint="eastAsia" w:ascii="方正大标宋_GBK" w:hAnsi="Times New Roman" w:eastAsia="方正大标宋_GBK" w:cs="Times New Roman"/>
          <w:sz w:val="44"/>
          <w:szCs w:val="44"/>
        </w:rPr>
        <w:t>比赛方案</w:t>
      </w:r>
    </w:p>
    <w:p>
      <w:pPr>
        <w:spacing w:line="560" w:lineRule="exact"/>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（中国青少年研究中心）</w:t>
      </w:r>
    </w:p>
    <w:p>
      <w:pPr>
        <w:spacing w:line="560" w:lineRule="exact"/>
        <w:rPr>
          <w:rFonts w:ascii="Times New Roman" w:hAnsi="Times New Roman" w:eastAsia="方正仿宋_GBK" w:cs="Times New Roman"/>
          <w:sz w:val="32"/>
          <w:szCs w:val="32"/>
        </w:rPr>
      </w:pPr>
    </w:p>
    <w:p>
      <w:pPr>
        <w:pStyle w:val="13"/>
        <w:numPr>
          <w:ilvl w:val="0"/>
          <w:numId w:val="0"/>
        </w:numPr>
        <w:spacing w:line="560" w:lineRule="exact"/>
        <w:ind w:left="1360" w:leftChars="0" w:hanging="720" w:firstLineChars="0"/>
        <w:rPr>
          <w:rFonts w:ascii="Times New Roman" w:hAnsi="Times New Roman" w:eastAsia="方正黑体_GBK" w:cs="Times New Roman"/>
          <w:sz w:val="32"/>
          <w:szCs w:val="32"/>
        </w:rPr>
      </w:pPr>
      <w:r>
        <w:rPr>
          <w:rFonts w:hint="default" w:ascii="Times New Roman" w:hAnsi="Times New Roman" w:eastAsia="方正黑体_GBK" w:cs="Times New Roman"/>
          <w:kern w:val="2"/>
          <w:sz w:val="32"/>
          <w:szCs w:val="32"/>
          <w:lang w:val="en-US" w:eastAsia="zh-CN" w:bidi="ar-SA"/>
          <w14:ligatures w14:val="standardContextual"/>
        </w:rPr>
        <w:t>一、</w:t>
      </w:r>
      <w:r>
        <w:rPr>
          <w:rFonts w:ascii="Times New Roman" w:hAnsi="Times New Roman" w:eastAsia="方正黑体_GBK" w:cs="Times New Roman"/>
          <w:sz w:val="32"/>
          <w:szCs w:val="32"/>
        </w:rPr>
        <w:t>组织单位</w:t>
      </w:r>
    </w:p>
    <w:p>
      <w:pPr>
        <w:spacing w:line="560" w:lineRule="exact"/>
        <w:ind w:left="420" w:firstLine="144" w:firstLineChars="45"/>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中国青少年研究中心</w:t>
      </w:r>
    </w:p>
    <w:p>
      <w:pPr>
        <w:spacing w:line="560" w:lineRule="exact"/>
        <w:ind w:left="420" w:firstLine="144" w:firstLineChars="45"/>
        <w:rPr>
          <w:rFonts w:ascii="Times New Roman" w:hAnsi="Times New Roman" w:eastAsia="方正黑体_GBK" w:cs="Times New Roman"/>
          <w:sz w:val="32"/>
          <w:szCs w:val="32"/>
        </w:rPr>
      </w:pPr>
      <w:r>
        <w:rPr>
          <w:rFonts w:ascii="Times New Roman" w:hAnsi="Times New Roman" w:eastAsia="方正黑体_GBK" w:cs="Times New Roman"/>
          <w:sz w:val="32"/>
          <w:szCs w:val="32"/>
        </w:rPr>
        <w:t>二、题目名称</w:t>
      </w:r>
    </w:p>
    <w:p>
      <w:pPr>
        <w:pStyle w:val="13"/>
        <w:spacing w:line="560" w:lineRule="exact"/>
        <w:ind w:left="420" w:firstLine="144" w:firstLineChars="45"/>
        <w:rPr>
          <w:rFonts w:ascii="Times New Roman" w:hAnsi="Times New Roman" w:eastAsia="方正仿宋_GBK" w:cs="Times New Roman"/>
          <w:sz w:val="32"/>
          <w:szCs w:val="32"/>
        </w:rPr>
      </w:pPr>
      <w:r>
        <w:rPr>
          <w:rFonts w:ascii="Times New Roman" w:hAnsi="Times New Roman" w:eastAsia="方正仿宋_GBK" w:cs="Times New Roman"/>
          <w:sz w:val="32"/>
          <w:szCs w:val="32"/>
        </w:rPr>
        <w:t>青年参与乡村</w:t>
      </w:r>
      <w:r>
        <w:rPr>
          <w:rFonts w:hint="eastAsia" w:ascii="Times New Roman" w:hAnsi="Times New Roman" w:eastAsia="方正仿宋_GBK" w:cs="Times New Roman"/>
          <w:sz w:val="32"/>
          <w:szCs w:val="32"/>
        </w:rPr>
        <w:t>全面</w:t>
      </w:r>
      <w:r>
        <w:rPr>
          <w:rFonts w:ascii="Times New Roman" w:hAnsi="Times New Roman" w:eastAsia="方正仿宋_GBK" w:cs="Times New Roman"/>
          <w:sz w:val="32"/>
          <w:szCs w:val="32"/>
        </w:rPr>
        <w:t>振兴</w:t>
      </w:r>
      <w:r>
        <w:rPr>
          <w:rFonts w:hint="eastAsia" w:ascii="Times New Roman" w:hAnsi="Times New Roman" w:eastAsia="方正仿宋_GBK" w:cs="Times New Roman"/>
          <w:sz w:val="32"/>
          <w:szCs w:val="32"/>
        </w:rPr>
        <w:t>的路径</w:t>
      </w:r>
      <w:r>
        <w:rPr>
          <w:rFonts w:ascii="Times New Roman" w:hAnsi="Times New Roman" w:eastAsia="方正仿宋_GBK" w:cs="Times New Roman"/>
          <w:sz w:val="32"/>
          <w:szCs w:val="32"/>
        </w:rPr>
        <w:t>探索</w:t>
      </w:r>
      <w:r>
        <w:rPr>
          <w:rFonts w:hint="eastAsia" w:ascii="Times New Roman" w:hAnsi="Times New Roman" w:eastAsia="方正仿宋_GBK" w:cs="Times New Roman"/>
          <w:sz w:val="32"/>
          <w:szCs w:val="32"/>
          <w:lang w:val="en-US" w:eastAsia="zh-CN"/>
        </w:rPr>
        <w:t>和</w:t>
      </w:r>
      <w:r>
        <w:rPr>
          <w:rFonts w:ascii="Times New Roman" w:hAnsi="Times New Roman" w:eastAsia="方正仿宋_GBK" w:cs="Times New Roman"/>
          <w:sz w:val="32"/>
          <w:szCs w:val="32"/>
        </w:rPr>
        <w:t>实践研究</w:t>
      </w:r>
    </w:p>
    <w:p>
      <w:pPr>
        <w:spacing w:line="560" w:lineRule="exact"/>
        <w:ind w:left="420" w:firstLine="144"/>
        <w:rPr>
          <w:rFonts w:ascii="Times New Roman" w:hAnsi="Times New Roman" w:eastAsia="方正黑体_GBK" w:cs="Times New Roman"/>
          <w:sz w:val="32"/>
          <w:szCs w:val="32"/>
        </w:rPr>
      </w:pPr>
      <w:r>
        <w:rPr>
          <w:rFonts w:ascii="Times New Roman" w:hAnsi="Times New Roman" w:eastAsia="方正黑体_GBK" w:cs="Times New Roman"/>
          <w:sz w:val="32"/>
          <w:szCs w:val="32"/>
        </w:rPr>
        <w:t>三、题目介绍</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全面推进乡村振兴、加快建设农业强国，是党中央着眼以中国式现代化全面推进中华民族伟大复兴的重大战略部署。在实施乡村振兴战略中，人才是关键性力量，作为</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社会中最有生气、最有闯劲、最少保守思想的群体</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更应发挥先锋作用。习近平总书记在同团中央新一届领导班子集体谈话时指出，</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组织动员广大青年立足本职岗位，积极投身中国式现代化建设，在科技创新、乡村振兴、绿色发展、社会服务、卫国戍边等各领域争当排头兵和生力军。</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本项目聚焦青年参与乡村全面振兴这一重要主题，拟通过分析参与现状、存在的问题以及深层次原因，从学理和实践层面探寻青年扎根乡村、服务乡村的路径方法，为广大青年在中国式现代化建设中挺膺担当提出可行性方案。</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参赛团队应注重该研究的系统性、全局性和战略性，要从</w:t>
      </w:r>
      <w:r>
        <w:rPr>
          <w:rFonts w:hint="eastAsia" w:ascii="Times New Roman" w:hAnsi="Times New Roman" w:eastAsia="方正仿宋_GBK" w:cs="Times New Roman"/>
          <w:sz w:val="32"/>
          <w:szCs w:val="32"/>
        </w:rPr>
        <w:t>产业振兴、人才振兴、文化振兴、生态振兴和组织振兴</w:t>
      </w:r>
      <w:r>
        <w:rPr>
          <w:rFonts w:ascii="Times New Roman" w:hAnsi="Times New Roman" w:eastAsia="方正仿宋_GBK" w:cs="Times New Roman"/>
          <w:sz w:val="32"/>
          <w:szCs w:val="32"/>
        </w:rPr>
        <w:t>角度，全面分析青年参与乡村振兴的重大意义、逻辑基础、现状困境，探索构建乡村</w:t>
      </w:r>
      <w:r>
        <w:rPr>
          <w:rFonts w:hint="eastAsia" w:ascii="Times New Roman" w:hAnsi="Times New Roman" w:eastAsia="方正仿宋_GBK" w:cs="Times New Roman"/>
          <w:sz w:val="32"/>
          <w:szCs w:val="32"/>
        </w:rPr>
        <w:t>全面</w:t>
      </w:r>
      <w:r>
        <w:rPr>
          <w:rFonts w:ascii="Times New Roman" w:hAnsi="Times New Roman" w:eastAsia="方正仿宋_GBK" w:cs="Times New Roman"/>
          <w:sz w:val="32"/>
          <w:szCs w:val="32"/>
        </w:rPr>
        <w:t>振兴</w:t>
      </w:r>
      <w:r>
        <w:rPr>
          <w:rFonts w:hint="eastAsia" w:ascii="Times New Roman" w:hAnsi="Times New Roman" w:eastAsia="方正仿宋_GBK" w:cs="Times New Roman"/>
          <w:sz w:val="32"/>
          <w:szCs w:val="32"/>
        </w:rPr>
        <w:t>的青年参与机制</w:t>
      </w:r>
      <w:r>
        <w:rPr>
          <w:rFonts w:ascii="Times New Roman" w:hAnsi="Times New Roman" w:eastAsia="方正仿宋_GBK" w:cs="Times New Roman"/>
          <w:sz w:val="32"/>
          <w:szCs w:val="32"/>
        </w:rPr>
        <w:t>。研究需具备一定的理论深度、国际视野和实践支撑，在研究方法上应有所突破，可综合采取访谈、问卷调查、田野调查以及网络抓取等大数据的分析方法来具体推进</w:t>
      </w:r>
      <w:r>
        <w:rPr>
          <w:rFonts w:hint="eastAsia" w:ascii="Times New Roman" w:hAnsi="Times New Roman" w:eastAsia="方正仿宋_GBK" w:cs="Times New Roman"/>
          <w:sz w:val="32"/>
          <w:szCs w:val="32"/>
        </w:rPr>
        <w:t>。在研究视角上要注重多学科的有效配合，多角度挖掘创新案例和实践路径。</w:t>
      </w:r>
      <w:r>
        <w:rPr>
          <w:rFonts w:ascii="Times New Roman" w:hAnsi="Times New Roman" w:eastAsia="方正仿宋_GBK" w:cs="Times New Roman"/>
          <w:sz w:val="32"/>
          <w:szCs w:val="32"/>
        </w:rPr>
        <w:t>研究中提出的观点要言之有据，政策建议要做到可落地、可操作。</w:t>
      </w:r>
    </w:p>
    <w:p>
      <w:pPr>
        <w:spacing w:line="560" w:lineRule="exact"/>
        <w:ind w:left="420" w:firstLine="144"/>
        <w:rPr>
          <w:rFonts w:ascii="Times New Roman" w:hAnsi="Times New Roman" w:eastAsia="方正黑体_GBK" w:cs="Times New Roman"/>
          <w:sz w:val="32"/>
          <w:szCs w:val="32"/>
        </w:rPr>
      </w:pPr>
      <w:r>
        <w:rPr>
          <w:rFonts w:ascii="Times New Roman" w:hAnsi="Times New Roman" w:eastAsia="方正黑体_GBK" w:cs="Times New Roman"/>
          <w:sz w:val="32"/>
          <w:szCs w:val="32"/>
        </w:rPr>
        <w:t>四、参赛对象</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spacing w:line="560" w:lineRule="exact"/>
        <w:ind w:firstLine="640" w:firstLineChars="200"/>
        <w:rPr>
          <w:rFonts w:ascii="方正仿宋_GBK" w:hAnsi="Times New Roman" w:eastAsia="方正仿宋_GBK" w:cs="Times New Roman"/>
          <w:sz w:val="32"/>
          <w:szCs w:val="32"/>
        </w:rPr>
      </w:pPr>
      <w:r>
        <w:rPr>
          <w:rFonts w:ascii="Times New Roman" w:hAnsi="Times New Roman" w:eastAsia="方正仿宋_GBK" w:cs="Times New Roman"/>
          <w:sz w:val="32"/>
          <w:szCs w:val="32"/>
        </w:rPr>
        <w:t>本校硕博连读生（直博生）若在2024年6月1日以前未通</w:t>
      </w:r>
      <w:r>
        <w:rPr>
          <w:rFonts w:hint="eastAsia" w:ascii="方正仿宋_GBK" w:hAnsi="Times New Roman" w:eastAsia="方正仿宋_GBK" w:cs="Times New Roman"/>
          <w:sz w:val="32"/>
          <w:szCs w:val="32"/>
        </w:rPr>
        <w:t>过博士资格考试的，可以按研究生学历申报作品。没有实行资格考试制度的学校，前两年可以按硕士学历申报作品。本硕博连读生，按照四年、两年分别对应本、硕申报，后续则不可申报。</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毕业设计和课程设计（论文）、学年论文和学位论文、国际竞赛中获奖的作品、获国家级奖励成果（含本竞赛主办单位参与举办的其他全国性竞赛的获奖作品）等均不在申报范围之列。</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每件作品仅可由</w:t>
      </w:r>
      <w:r>
        <w:rPr>
          <w:rFonts w:hint="default" w:ascii="Times New Roman" w:hAnsi="Times New Roman" w:eastAsia="方正仿宋_GBK" w:cs="Times New Roman"/>
          <w:sz w:val="32"/>
          <w:szCs w:val="32"/>
        </w:rPr>
        <w:t>1</w:t>
      </w:r>
      <w:r>
        <w:rPr>
          <w:rFonts w:hint="eastAsia" w:ascii="方正仿宋_GBK" w:hAnsi="Times New Roman" w:eastAsia="方正仿宋_GBK" w:cs="Times New Roman"/>
          <w:sz w:val="32"/>
          <w:szCs w:val="32"/>
        </w:rPr>
        <w:t>所高校推报，高校在推报前要对参赛团队成员及作品进行相关资格审查。</w:t>
      </w:r>
    </w:p>
    <w:p>
      <w:pPr>
        <w:spacing w:line="560" w:lineRule="exact"/>
        <w:ind w:right="-59" w:rightChars="-28" w:firstLine="640" w:firstLineChars="200"/>
        <w:rPr>
          <w:rFonts w:ascii="Times New Roman" w:hAnsi="Times New Roman" w:eastAsia="方正仿宋_GBK" w:cs="Times New Roman"/>
          <w:sz w:val="32"/>
          <w:szCs w:val="32"/>
        </w:rPr>
      </w:pPr>
      <w:r>
        <w:rPr>
          <w:rFonts w:hint="eastAsia" w:ascii="方正仿宋_GBK" w:hAnsi="Times New Roman" w:eastAsia="方正仿宋_GBK" w:cs="Times New Roman"/>
          <w:sz w:val="32"/>
          <w:szCs w:val="32"/>
        </w:rPr>
        <w:t>每所学校选送参加专项赛的作品数量不设限制，但同一作品不得同时参加第十九届</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挑战杯</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全国大学生课外学术科技作品竞赛主体赛事自然科学类学术论文、哲学社会科学类调查报告、科技发明制作作品评比</w:t>
      </w:r>
      <w:r>
        <w:rPr>
          <w:rFonts w:ascii="Times New Roman" w:hAnsi="Times New Roman" w:eastAsia="方正仿宋_GBK" w:cs="Times New Roman"/>
          <w:sz w:val="32"/>
          <w:szCs w:val="32"/>
        </w:rPr>
        <w:t>。</w:t>
      </w:r>
    </w:p>
    <w:p>
      <w:pPr>
        <w:spacing w:line="560" w:lineRule="exact"/>
        <w:ind w:left="420" w:firstLine="144"/>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五、</w:t>
      </w:r>
      <w:r>
        <w:rPr>
          <w:rFonts w:ascii="Times New Roman" w:hAnsi="Times New Roman" w:eastAsia="方正黑体_GBK" w:cs="Times New Roman"/>
          <w:sz w:val="32"/>
          <w:szCs w:val="32"/>
        </w:rPr>
        <w:t>答题要求</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根据选题情况作品主要涵盖以下要求：</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围绕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青年参与乡村全面振兴的路径探索</w:t>
      </w:r>
      <w:r>
        <w:rPr>
          <w:rFonts w:hint="eastAsia"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rPr>
        <w:t>实践研究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主题，提交 1 份字数不少于10000字的研究报告</w:t>
      </w:r>
      <w:r>
        <w:rPr>
          <w:rFonts w:hint="eastAsia" w:ascii="Times New Roman" w:hAnsi="Times New Roman" w:eastAsia="方正仿宋_GBK" w:cs="Times New Roman"/>
          <w:sz w:val="32"/>
          <w:szCs w:val="32"/>
        </w:rPr>
        <w:t>（结项报告）；</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hint="eastAsia" w:ascii="Times New Roman" w:hAnsi="Times New Roman" w:eastAsia="方正仿宋_GBK" w:cs="Times New Roman"/>
          <w:sz w:val="32"/>
          <w:szCs w:val="32"/>
        </w:rPr>
        <w:t>上述报告的查重报告1份</w:t>
      </w:r>
      <w:r>
        <w:rPr>
          <w:rFonts w:hint="eastAsia" w:ascii="Times New Roman" w:hAnsi="Times New Roman" w:eastAsia="方正仿宋_GBK" w:cs="Times New Roman"/>
          <w:sz w:val="32"/>
          <w:szCs w:val="32"/>
          <w:lang w:eastAsia="zh-CN"/>
        </w:rPr>
        <w:t>（重复率不超过20%）</w:t>
      </w:r>
      <w:r>
        <w:rPr>
          <w:rFonts w:hint="eastAsia" w:ascii="Times New Roman" w:hAnsi="Times New Roman" w:eastAsia="方正仿宋_GBK" w:cs="Times New Roman"/>
          <w:sz w:val="32"/>
          <w:szCs w:val="32"/>
        </w:rPr>
        <w:t>、隐去单位和团队成员基本信息的研究报告（结项报告）1份；</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3. </w:t>
      </w:r>
      <w:r>
        <w:rPr>
          <w:rFonts w:ascii="Times New Roman" w:hAnsi="Times New Roman" w:eastAsia="方正仿宋_GBK" w:cs="Times New Roman"/>
          <w:sz w:val="32"/>
          <w:szCs w:val="32"/>
        </w:rPr>
        <w:t>提交与主题有关的其他理论成果，包括但不限于学术论 文（报刊）、领导批示、调研报告等（如有可提交）；</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 提交调研过程中形成的调研心得、手记、访谈资料、问卷数据等（如有可提交）。</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参赛者必须保证作品的原创性，且未公开发表。应杜绝一切抄袭或剽窃他人成果的作品参赛，参赛者应严格遵守国家有关知识产权保护的规定，不得侵犯任何第三方的知识产权或其他权利。如引发知识产权纠纷，责任由参赛者自负。发榜单位将对作品进行随机抽查，如发现学术不端行为，则取消比赛</w:t>
      </w:r>
      <w:r>
        <w:rPr>
          <w:rFonts w:hint="eastAsia" w:ascii="Times New Roman" w:hAnsi="Times New Roman" w:eastAsia="方正仿宋_GBK" w:cs="Times New Roman"/>
          <w:sz w:val="32"/>
          <w:szCs w:val="32"/>
        </w:rPr>
        <w:t>资格</w:t>
      </w:r>
      <w:r>
        <w:rPr>
          <w:rFonts w:ascii="Times New Roman" w:hAnsi="Times New Roman" w:eastAsia="方正仿宋_GBK" w:cs="Times New Roman"/>
          <w:sz w:val="32"/>
          <w:szCs w:val="32"/>
        </w:rPr>
        <w:t>，并报送组委会，通报参赛学校。纪律监督将贯穿比赛全过程。</w:t>
      </w:r>
    </w:p>
    <w:p>
      <w:pPr>
        <w:spacing w:line="560" w:lineRule="exact"/>
        <w:ind w:left="420" w:firstLine="144"/>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六、</w:t>
      </w:r>
      <w:r>
        <w:rPr>
          <w:rFonts w:ascii="Times New Roman" w:hAnsi="Times New Roman" w:eastAsia="方正黑体_GBK" w:cs="Times New Roman"/>
          <w:sz w:val="32"/>
          <w:szCs w:val="32"/>
        </w:rPr>
        <w:t>作品评选标准</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作品评选将从作品完整性、理论性、规范性、创新性、可行性五个维度对参赛作品进行综合评价，每个维度 20 分，共计 100分。具体标准如下：</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作品完整性重点考察参赛报告的选题是否正确、基本结构是否完备、体例是否符合、设计是否合理、论证是否清晰等；</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理论性重点考察作品是否具有一定的理论深度、基本观点的学术机理与逻辑关系阐释是否清晰明确等；</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规范性重点考察作品资料和数据是否准确，研究范式、研究思路等是否科学、是否符合基本学术规范</w:t>
      </w:r>
      <w:r>
        <w:rPr>
          <w:rFonts w:hint="eastAsia" w:ascii="Times New Roman" w:hAnsi="Times New Roman" w:eastAsia="方正仿宋_GBK" w:cs="Times New Roman"/>
          <w:sz w:val="32"/>
          <w:szCs w:val="32"/>
          <w:lang w:val="en-US" w:eastAsia="zh-CN"/>
        </w:rPr>
        <w:t>等</w:t>
      </w:r>
      <w:r>
        <w:rPr>
          <w:rFonts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创新性重点考察参赛作品在学术及应用层面是否具有创新价值，是否对现有实践做法予以创新突破等；</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可行性重点关注参赛作品提出的政策建议是否符合实际，提出的观点能否有效解决当前青年工作的实际问题，并真正做到可复制、可推广。</w:t>
      </w:r>
    </w:p>
    <w:p>
      <w:pPr>
        <w:spacing w:line="560" w:lineRule="exact"/>
        <w:ind w:left="420" w:firstLine="144"/>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w:t>
      </w:r>
      <w:r>
        <w:rPr>
          <w:rFonts w:ascii="Times New Roman" w:hAnsi="Times New Roman" w:eastAsia="方正黑体_GBK" w:cs="Times New Roman"/>
          <w:sz w:val="32"/>
          <w:szCs w:val="32"/>
        </w:rPr>
        <w:t>作品提交时间</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2024年4月—8月，</w:t>
      </w:r>
      <w:r>
        <w:rPr>
          <w:rFonts w:hint="eastAsia" w:ascii="方正仿宋_GBK" w:hAnsi="Times New Roman" w:eastAsia="方正仿宋_GBK" w:cs="Times New Roman"/>
          <w:sz w:val="32"/>
          <w:szCs w:val="32"/>
        </w:rPr>
        <w:t>各参赛团队选择榜单中的题目开展研发攻关，各高校</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挑战杯</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竞赛组织协调机构要积极组织学生参</w:t>
      </w:r>
      <w:r>
        <w:rPr>
          <w:rFonts w:ascii="Times New Roman" w:hAnsi="Times New Roman" w:eastAsia="方正仿宋_GBK" w:cs="Times New Roman"/>
          <w:sz w:val="32"/>
          <w:szCs w:val="32"/>
        </w:rPr>
        <w:t>赛，安排有关老师给予指导，为参赛团队提供支持保障；</w:t>
      </w:r>
    </w:p>
    <w:p>
      <w:pPr>
        <w:spacing w:line="560" w:lineRule="exact"/>
        <w:ind w:firstLine="640" w:firstLineChars="200"/>
        <w:rPr>
          <w:rFonts w:ascii="方正仿宋_GBK" w:hAnsi="Times New Roman" w:eastAsia="方正仿宋_GBK" w:cs="Times New Roman"/>
          <w:sz w:val="32"/>
          <w:szCs w:val="32"/>
        </w:rPr>
      </w:pPr>
      <w:r>
        <w:rPr>
          <w:rFonts w:ascii="Times New Roman" w:hAnsi="Times New Roman" w:eastAsia="方正仿宋_GBK" w:cs="Times New Roman"/>
          <w:sz w:val="32"/>
          <w:szCs w:val="32"/>
        </w:rPr>
        <w:t>2024年8月5日前，</w:t>
      </w:r>
      <w:r>
        <w:rPr>
          <w:rFonts w:hint="eastAsia" w:ascii="方正仿宋_GBK" w:hAnsi="Times New Roman" w:eastAsia="方正仿宋_GBK" w:cs="Times New Roman"/>
          <w:sz w:val="32"/>
          <w:szCs w:val="32"/>
        </w:rPr>
        <w:t>各参赛团队向组委会提交作品，组委会和出题方共同开展初审，确定入围终审的晋级作品和团队。</w:t>
      </w:r>
      <w:bookmarkStart w:id="0" w:name="_Hlk162770416"/>
      <w:r>
        <w:rPr>
          <w:rFonts w:hint="eastAsia" w:ascii="方正仿宋_GBK" w:hAnsi="Times New Roman" w:eastAsia="方正仿宋_GBK" w:cs="Times New Roman"/>
          <w:sz w:val="32"/>
          <w:szCs w:val="32"/>
        </w:rPr>
        <w:t>拟按照申报</w:t>
      </w:r>
      <w:r>
        <w:rPr>
          <w:rFonts w:ascii="Times New Roman" w:hAnsi="Times New Roman" w:eastAsia="方正仿宋_GBK" w:cs="Times New Roman"/>
          <w:sz w:val="32"/>
          <w:szCs w:val="32"/>
        </w:rPr>
        <w:t>作品总数的前30%确定入围终审的团队（并列分数同时入围）。具体提交要求详见作品提交方式。</w:t>
      </w:r>
      <w:bookmarkEnd w:id="0"/>
    </w:p>
    <w:p>
      <w:pPr>
        <w:spacing w:line="560" w:lineRule="exact"/>
        <w:ind w:left="420" w:firstLine="144"/>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八、</w:t>
      </w:r>
      <w:r>
        <w:rPr>
          <w:rFonts w:ascii="Times New Roman" w:hAnsi="Times New Roman" w:eastAsia="方正黑体_GBK" w:cs="Times New Roman"/>
          <w:sz w:val="32"/>
          <w:szCs w:val="32"/>
        </w:rPr>
        <w:t>参赛报名及作品提交方式</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 </w:t>
      </w:r>
      <w:r>
        <w:rPr>
          <w:rFonts w:hint="eastAsia" w:ascii="方正楷体_GBK" w:hAnsi="方正楷体_GBK" w:eastAsia="方正楷体_GBK" w:cs="方正楷体_GBK"/>
          <w:sz w:val="32"/>
          <w:szCs w:val="32"/>
        </w:rPr>
        <w:t>网上报名方式</w:t>
      </w:r>
    </w:p>
    <w:p>
      <w:pPr>
        <w:spacing w:line="560" w:lineRule="exact"/>
        <w:ind w:firstLine="566" w:firstLineChars="177"/>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（1）请参赛同学通过PC电脑端登录报名网站（https://fxyh-t.bocmartech.com/jbgs/#/login），在线填写报名信息。</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（2）报名信息提交后，请将系统生成报名表下载打印，根据提示，由申报人所在学校的学籍管理部门、院系、团委等部门分别进行审核（需严格按要求在指定位置完成签字和盖章）。</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（3）将审核通过的报名表扫描件上传系统，等待所在学校及发榜单位审核。</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（4）请参赛同学注意查看审核状态，如审核不通过，需重新提交。具体操作流程详见报名网站《操作手册》。</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hint="eastAsia" w:ascii="方正楷体_GBK" w:hAnsi="方正楷体_GBK" w:eastAsia="方正楷体_GBK" w:cs="方正楷体_GBK"/>
          <w:sz w:val="32"/>
          <w:szCs w:val="32"/>
        </w:rPr>
        <w:t>具体作品提交方式</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（1）参赛团队提交具体参赛作品时，务必一并提交1份报名系统中审核通过的参赛报名表（所有信息与系统中填报信息保持严格一致）。</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（2）相关文件及参赛作品文件需同时提交PDF 和 Word 两个版本（两文件内容需保持一致），其中 PDF 版本需为加盖参赛学校红色公章的扫描版本（扫描黑白复印件或拍照无效）。如有与榜单主题密切相关的成果也可与上述文件打包后一并发送邮箱。邮件主题及文件夹请严格按照</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XXX大学—团队负责人—题目—联系方式</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（例如：清华大学—张三—青年参与乡村振兴—13801010001）格式命名。对不按照规定格式和时间提交的作品，主办方有权将其定义为</w:t>
      </w:r>
      <w:bookmarkStart w:id="1" w:name="_Hlk162769723"/>
      <w:r>
        <w:rPr>
          <w:rFonts w:ascii="Times New Roman" w:hAnsi="Times New Roman" w:eastAsia="方正仿宋_GBK" w:cs="Times New Roman"/>
          <w:sz w:val="32"/>
          <w:szCs w:val="32"/>
        </w:rPr>
        <w:t>不符合要求的参赛作品，并限期修改，不修改或超期修改的，将不纳入到初评范</w:t>
      </w:r>
      <w:bookmarkEnd w:id="1"/>
      <w:r>
        <w:rPr>
          <w:rFonts w:ascii="Times New Roman" w:hAnsi="Times New Roman" w:eastAsia="方正仿宋_GBK" w:cs="Times New Roman"/>
          <w:sz w:val="32"/>
          <w:szCs w:val="32"/>
        </w:rPr>
        <w:t>围。为减少重复登记，参赛团队请勿重复发送或反复修改。</w:t>
      </w:r>
    </w:p>
    <w:p>
      <w:pPr>
        <w:spacing w:line="560" w:lineRule="exact"/>
        <w:ind w:firstLine="566" w:firstLineChars="177"/>
        <w:rPr>
          <w:rFonts w:ascii="Times New Roman" w:hAnsi="Times New Roman" w:eastAsia="方正仿宋_GBK" w:cs="Times New Roman"/>
          <w:sz w:val="32"/>
          <w:szCs w:val="32"/>
        </w:rPr>
      </w:pPr>
      <w:bookmarkStart w:id="2" w:name="_Hlk162769738"/>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上述提交的所有材料请于8月5日前提交至邮箱：</w:t>
      </w:r>
      <w:r>
        <w:fldChar w:fldCharType="begin"/>
      </w:r>
      <w:r>
        <w:instrText xml:space="preserve"> HYPERLINK "mailto:qsnfz2004@163.com" </w:instrText>
      </w:r>
      <w:r>
        <w:fldChar w:fldCharType="separate"/>
      </w:r>
      <w:r>
        <w:rPr>
          <w:rStyle w:val="10"/>
          <w:rFonts w:ascii="Times New Roman" w:hAnsi="Times New Roman" w:eastAsia="方正仿宋_GBK" w:cs="Times New Roman"/>
          <w:color w:val="auto"/>
          <w:sz w:val="32"/>
          <w:szCs w:val="32"/>
        </w:rPr>
        <w:t>qsnfz2004@163.com</w:t>
      </w:r>
      <w:r>
        <w:rPr>
          <w:rStyle w:val="10"/>
          <w:rFonts w:ascii="Times New Roman" w:hAnsi="Times New Roman" w:eastAsia="方正仿宋_GBK" w:cs="Times New Roman"/>
          <w:color w:val="auto"/>
          <w:sz w:val="32"/>
          <w:szCs w:val="32"/>
        </w:rPr>
        <w:fldChar w:fldCharType="end"/>
      </w:r>
      <w:r>
        <w:rPr>
          <w:rFonts w:hint="eastAsia" w:ascii="Times New Roman" w:hAnsi="Times New Roman" w:eastAsia="方正仿宋_GBK" w:cs="Times New Roman"/>
          <w:sz w:val="32"/>
          <w:szCs w:val="32"/>
        </w:rPr>
        <w:t>。资格审核及初评环节无需寄送</w:t>
      </w:r>
      <w:r>
        <w:rPr>
          <w:rFonts w:ascii="Times New Roman" w:hAnsi="Times New Roman" w:eastAsia="方正仿宋_GBK" w:cs="Times New Roman"/>
          <w:sz w:val="32"/>
          <w:szCs w:val="32"/>
        </w:rPr>
        <w:t>纸质版</w:t>
      </w:r>
      <w:r>
        <w:rPr>
          <w:rFonts w:hint="eastAsia" w:ascii="Times New Roman" w:hAnsi="Times New Roman" w:eastAsia="方正仿宋_GBK" w:cs="Times New Roman"/>
          <w:sz w:val="32"/>
          <w:szCs w:val="32"/>
        </w:rPr>
        <w:t>材料，进入终审的团队，相关材料提交待后续通知。</w:t>
      </w:r>
    </w:p>
    <w:bookmarkEnd w:id="2"/>
    <w:p>
      <w:pPr>
        <w:spacing w:line="560" w:lineRule="exact"/>
        <w:ind w:left="420" w:firstLine="144"/>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九、</w:t>
      </w:r>
      <w:r>
        <w:rPr>
          <w:rFonts w:ascii="Times New Roman" w:hAnsi="Times New Roman" w:eastAsia="方正黑体_GBK" w:cs="Times New Roman"/>
          <w:sz w:val="32"/>
          <w:szCs w:val="32"/>
        </w:rPr>
        <w:t>赛事保障</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1. 研究资料参考。对入围终审团队视情况提供有关的调查数据、青年发展统计年鉴等资料。如有相关需求需提前5个工作日联系专班工作人员。</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2. 线上答疑及基础指导。比赛专班根据组委会工作要求，将由相关老师对榜单题目设置的背景、成果要求、比赛程序以及团队选题的方向等问题予以线上答疑及基础指导，并提出方向性意见（为保障比赛公平公正，工作不涉及课题过程性指导）。</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3. 对于参加本项目的参赛团队，本单位可以根据团队的实际需求，在参观交流以及其他项目必须条件等方面提供帮助。</w:t>
      </w:r>
    </w:p>
    <w:p>
      <w:pPr>
        <w:spacing w:line="560" w:lineRule="exact"/>
        <w:ind w:left="420" w:firstLine="144"/>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十、</w:t>
      </w:r>
      <w:r>
        <w:rPr>
          <w:rFonts w:ascii="Times New Roman" w:hAnsi="Times New Roman" w:eastAsia="方正黑体_GBK" w:cs="Times New Roman"/>
          <w:sz w:val="32"/>
          <w:szCs w:val="32"/>
        </w:rPr>
        <w:t>设奖情况及奖励措施</w:t>
      </w:r>
    </w:p>
    <w:p>
      <w:pPr>
        <w:spacing w:line="560" w:lineRule="exact"/>
        <w:ind w:firstLine="640" w:firstLineChars="200"/>
        <w:rPr>
          <w:rFonts w:hint="eastAsia" w:ascii="方正楷体_GBK" w:hAnsi="方正楷体_GBK" w:eastAsia="方正楷体_GBK" w:cs="方正楷体_GBK"/>
          <w:sz w:val="32"/>
          <w:szCs w:val="32"/>
        </w:rPr>
      </w:pPr>
      <w:r>
        <w:rPr>
          <w:rFonts w:ascii="Times New Roman" w:hAnsi="Times New Roman" w:eastAsia="方正仿宋_GBK" w:cs="Times New Roman"/>
          <w:sz w:val="32"/>
          <w:szCs w:val="32"/>
        </w:rPr>
        <w:t xml:space="preserve">1. </w:t>
      </w:r>
      <w:r>
        <w:rPr>
          <w:rFonts w:hint="eastAsia" w:ascii="方正楷体_GBK" w:hAnsi="方正楷体_GBK" w:eastAsia="方正楷体_GBK" w:cs="方正楷体_GBK"/>
          <w:sz w:val="32"/>
          <w:szCs w:val="32"/>
        </w:rPr>
        <w:t>设奖情况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2024年9月，每个选题晋级团队完善作品，各出题方安排专门团队提供帮助和指导，冲刺攻关参加终审和</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擂台赛</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终审环节设置特等奖5个，一、二、三等奖若干。获得特等奖的团队晋级</w:t>
      </w:r>
      <w:r>
        <w:rPr>
          <w:rFonts w:hint="eastAsia" w:ascii="方正仿宋_GBK" w:hAnsi="Times New Roman" w:eastAsia="方正仿宋_GBK" w:cs="Times New Roman"/>
          <w:sz w:val="32"/>
          <w:szCs w:val="32"/>
        </w:rPr>
        <w:t>最终</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擂台赛</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并进行现场展示和答辩，</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擂台赛</w:t>
      </w:r>
      <w:r>
        <w:rPr>
          <w:rFonts w:hint="eastAsia" w:ascii="方正仿宋_GBK" w:hAnsi="Times New Roman" w:eastAsia="方正仿宋_GBK" w:cs="Times New Roman"/>
          <w:sz w:val="32"/>
          <w:szCs w:val="32"/>
          <w:lang w:eastAsia="zh-CN"/>
        </w:rPr>
        <w:t>”</w:t>
      </w:r>
      <w:r>
        <w:rPr>
          <w:rFonts w:ascii="Times New Roman" w:hAnsi="Times New Roman" w:eastAsia="方正仿宋_GBK" w:cs="Times New Roman"/>
          <w:sz w:val="32"/>
          <w:szCs w:val="32"/>
        </w:rPr>
        <w:t>环节对榜单的每个选题原则上评出1个</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擂主</w:t>
      </w:r>
      <w:r>
        <w:rPr>
          <w:rFonts w:hint="eastAsia" w:ascii="方正仿宋_GBK" w:hAnsi="Times New Roman" w:eastAsia="方正仿宋_GBK" w:cs="Times New Roman"/>
          <w:sz w:val="32"/>
          <w:szCs w:val="32"/>
          <w:lang w:eastAsia="zh-CN"/>
        </w:rPr>
        <w:t>”</w:t>
      </w:r>
      <w:r>
        <w:rPr>
          <w:rFonts w:ascii="Times New Roman" w:hAnsi="Times New Roman" w:eastAsia="方正仿宋_GBK" w:cs="Times New Roman"/>
          <w:sz w:val="32"/>
          <w:szCs w:val="32"/>
        </w:rPr>
        <w:t>。</w:t>
      </w:r>
    </w:p>
    <w:p>
      <w:pPr>
        <w:spacing w:line="56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hint="eastAsia" w:ascii="方正楷体_GBK" w:hAnsi="方正楷体_GBK" w:eastAsia="方正楷体_GBK" w:cs="方正楷体_GBK"/>
          <w:sz w:val="32"/>
          <w:szCs w:val="32"/>
        </w:rPr>
        <w:t>奖励措施</w:t>
      </w:r>
    </w:p>
    <w:p>
      <w:pPr>
        <w:adjustRightInd w:val="0"/>
        <w:snapToGrid w:val="0"/>
        <w:spacing w:line="560" w:lineRule="exact"/>
        <w:ind w:firstLine="425" w:firstLineChars="133"/>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擂主</w:t>
      </w:r>
      <w:r>
        <w:rPr>
          <w:rFonts w:hint="eastAsia" w:ascii="方正仿宋_GBK" w:hAnsi="Times New Roman" w:eastAsia="方正仿宋_GBK" w:cs="Times New Roman"/>
          <w:sz w:val="32"/>
          <w:szCs w:val="32"/>
          <w:lang w:eastAsia="zh-CN"/>
        </w:rPr>
        <w:t>”</w:t>
      </w:r>
      <w:r>
        <w:rPr>
          <w:rFonts w:ascii="Times New Roman" w:hAnsi="Times New Roman" w:eastAsia="方正仿宋_GBK" w:cs="Times New Roman"/>
          <w:sz w:val="32"/>
          <w:szCs w:val="32"/>
        </w:rPr>
        <w:t>团队：团队成员将全部提供带薪实习机会（需政审通过），并纳入到研究中心相关课题的课题组成员；邀请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擂主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团队负责人参加中国青少年研究中心主办的科研会议；</w:t>
      </w:r>
    </w:p>
    <w:p>
      <w:pPr>
        <w:adjustRightInd w:val="0"/>
        <w:snapToGrid w:val="0"/>
        <w:spacing w:line="560" w:lineRule="exact"/>
        <w:ind w:firstLine="425" w:firstLineChars="133"/>
        <w:rPr>
          <w:rFonts w:ascii="Times New Roman" w:hAnsi="Times New Roman" w:eastAsia="方正仿宋_GBK" w:cs="Times New Roman"/>
          <w:sz w:val="32"/>
          <w:szCs w:val="32"/>
        </w:rPr>
      </w:pPr>
      <w:r>
        <w:rPr>
          <w:rFonts w:ascii="Times New Roman" w:hAnsi="Times New Roman" w:eastAsia="方正仿宋_GBK" w:cs="Times New Roman"/>
          <w:sz w:val="32"/>
          <w:szCs w:val="32"/>
        </w:rPr>
        <w:t>（2）其他获奖团队：获奖团队负责人将提供实习就业岗位（需政审通过）；团队成员将择优吸纳到研究中心课题研究之中；</w:t>
      </w:r>
    </w:p>
    <w:p>
      <w:pPr>
        <w:spacing w:line="560" w:lineRule="exact"/>
        <w:ind w:firstLine="425" w:firstLineChars="133"/>
        <w:rPr>
          <w:rFonts w:ascii="Times New Roman" w:hAnsi="Times New Roman" w:eastAsia="方正仿宋_GBK" w:cs="Times New Roman"/>
          <w:sz w:val="32"/>
          <w:szCs w:val="32"/>
        </w:rPr>
      </w:pPr>
      <w:r>
        <w:rPr>
          <w:rFonts w:ascii="Times New Roman" w:hAnsi="Times New Roman" w:eastAsia="方正仿宋_GBK" w:cs="Times New Roman"/>
          <w:sz w:val="32"/>
          <w:szCs w:val="32"/>
        </w:rPr>
        <w:t>（3）获奖团队的相关研究成果，经修改后将视情况择优通过《专题研究报告》形式报送团中央有关部门或推荐至青年研究类学术期刊发表。</w:t>
      </w:r>
    </w:p>
    <w:p>
      <w:pPr>
        <w:spacing w:line="500" w:lineRule="exact"/>
        <w:ind w:firstLine="566" w:firstLineChars="177"/>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十一、</w:t>
      </w:r>
      <w:r>
        <w:rPr>
          <w:rFonts w:ascii="Times New Roman" w:hAnsi="Times New Roman" w:eastAsia="方正黑体_GBK" w:cs="Times New Roman"/>
          <w:sz w:val="32"/>
          <w:szCs w:val="32"/>
        </w:rPr>
        <w:t>比赛专班</w:t>
      </w:r>
      <w:r>
        <w:rPr>
          <w:rFonts w:hint="eastAsia" w:ascii="Times New Roman" w:hAnsi="Times New Roman" w:eastAsia="方正黑体_GBK" w:cs="Times New Roman"/>
          <w:sz w:val="32"/>
          <w:szCs w:val="32"/>
          <w:lang w:val="en-US" w:eastAsia="zh-CN"/>
        </w:rPr>
        <w:t>联系</w:t>
      </w:r>
      <w:r>
        <w:rPr>
          <w:rFonts w:ascii="Times New Roman" w:hAnsi="Times New Roman" w:eastAsia="方正黑体_GBK" w:cs="Times New Roman"/>
          <w:sz w:val="32"/>
          <w:szCs w:val="32"/>
        </w:rPr>
        <w:t>方式</w:t>
      </w:r>
    </w:p>
    <w:p>
      <w:pPr>
        <w:spacing w:line="50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1. 赛制组专班：大赛统筹，包括但不限于赛事组织、与</w:t>
      </w:r>
      <w:r>
        <w:rPr>
          <w:rFonts w:hint="eastAsia" w:ascii="Times New Roman" w:hAnsi="Times New Roman" w:eastAsia="方正仿宋_GBK" w:cs="Times New Roman"/>
          <w:sz w:val="32"/>
          <w:szCs w:val="32"/>
        </w:rPr>
        <w:t>团队及</w:t>
      </w:r>
      <w:r>
        <w:rPr>
          <w:rFonts w:ascii="Times New Roman" w:hAnsi="Times New Roman" w:eastAsia="方正仿宋_GBK" w:cs="Times New Roman"/>
          <w:sz w:val="32"/>
          <w:szCs w:val="32"/>
        </w:rPr>
        <w:t>组委会对接等。负责人：张老师，010-88567536，13241072778。</w:t>
      </w:r>
    </w:p>
    <w:p>
      <w:pPr>
        <w:spacing w:line="500" w:lineRule="exact"/>
        <w:ind w:firstLine="566" w:firstLineChars="177"/>
        <w:rPr>
          <w:rFonts w:ascii="Times New Roman" w:hAnsi="Times New Roman" w:eastAsia="方正仿宋_GBK" w:cs="Times New Roman"/>
          <w:sz w:val="32"/>
          <w:szCs w:val="32"/>
        </w:rPr>
      </w:pPr>
      <w:r>
        <w:rPr>
          <w:rFonts w:ascii="Times New Roman" w:hAnsi="Times New Roman" w:eastAsia="方正仿宋_GBK" w:cs="Times New Roman"/>
          <w:sz w:val="32"/>
          <w:szCs w:val="32"/>
        </w:rPr>
        <w:t>2. 指导组专班：对大赛提供技术指导、学术咨询，来访座谈等。负责人：郭老师，010-88567536，18813149028。</w:t>
      </w:r>
    </w:p>
    <w:p>
      <w:pPr>
        <w:spacing w:line="500" w:lineRule="exact"/>
        <w:ind w:firstLine="566" w:firstLineChars="177"/>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3. 联系时间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比赛进行期间工作日（9:30-11:30，14:30-17:30）</w:t>
      </w:r>
      <w:r>
        <w:rPr>
          <w:rFonts w:hint="eastAsia" w:ascii="Times New Roman" w:hAnsi="Times New Roman" w:eastAsia="方正仿宋_GBK" w:cs="Times New Roman"/>
          <w:sz w:val="32"/>
          <w:szCs w:val="32"/>
        </w:rPr>
        <w:t>。</w:t>
      </w:r>
    </w:p>
    <w:p>
      <w:pPr>
        <w:spacing w:line="500" w:lineRule="exact"/>
        <w:ind w:firstLine="566" w:firstLineChars="177"/>
        <w:rPr>
          <w:rFonts w:hint="eastAsia" w:ascii="Times New Roman" w:hAnsi="Times New Roman" w:eastAsia="方正仿宋_GBK" w:cs="Times New Roman"/>
          <w:sz w:val="32"/>
          <w:szCs w:val="32"/>
        </w:rPr>
      </w:pPr>
    </w:p>
    <w:p>
      <w:pPr>
        <w:spacing w:line="500" w:lineRule="exact"/>
        <w:ind w:firstLine="566" w:firstLineChars="177"/>
        <w:rPr>
          <w:rFonts w:hint="eastAsia" w:ascii="Times New Roman" w:hAnsi="Times New Roman" w:eastAsia="方正仿宋_GBK" w:cs="Times New Roman"/>
          <w:sz w:val="32"/>
          <w:szCs w:val="32"/>
        </w:rPr>
      </w:pPr>
    </w:p>
    <w:p>
      <w:pPr>
        <w:spacing w:line="500" w:lineRule="exact"/>
        <w:jc w:val="righ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中国青少年研究中心</w:t>
      </w:r>
    </w:p>
    <w:p>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pPr>
        <w:spacing w:line="56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附：选题申报单位简介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中国青少年研究中心是团中央书记处领导的、专门服务于 团中央书记处、团中央委员会和团中央直属机关的重要决策参 谋机构，</w:t>
      </w:r>
      <w:r>
        <w:rPr>
          <w:rFonts w:hint="eastAsia" w:ascii="方正仿宋_GBK" w:hAnsi="Times New Roman" w:eastAsia="方正仿宋_GBK" w:cs="Times New Roman"/>
          <w:sz w:val="32"/>
          <w:szCs w:val="40"/>
        </w:rPr>
        <w:t>也是我国专门从事青少年及相关领域研究的科研智库单位</w:t>
      </w:r>
      <w:r>
        <w:rPr>
          <w:rFonts w:ascii="Times New Roman" w:hAnsi="Times New Roman" w:eastAsia="方正仿宋_GBK" w:cs="Times New Roman"/>
          <w:sz w:val="32"/>
          <w:szCs w:val="32"/>
        </w:rPr>
        <w:t>。自1991年成立以来</w:t>
      </w:r>
      <w:r>
        <w:rPr>
          <w:rFonts w:hint="eastAsia" w:ascii="方正仿宋_GBK" w:hAnsi="Times New Roman" w:eastAsia="方正仿宋_GBK" w:cs="Times New Roman"/>
          <w:sz w:val="32"/>
          <w:szCs w:val="32"/>
        </w:rPr>
        <w:t>，中国青少年研究中心始终坚持</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服务党政机关和团中央决策，服务青少年工作，服务青少年健康成长</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的机构宗旨，在机构发展成长的同时，始终坚持基础研究与应用研究相结合的方针，围绕党政中心工作和现实需要，不断建设青少年发展和青少年工作理论研究体系，优化科研重心，加大共青团和青少年工作研究的力度，形成了以</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皮书系列</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报告系列</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文库系列</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和</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学术期刊</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为自身专业特色的品牌项目和科研优势。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研究中心紧紧围绕实施中长期青年发展规划，聚焦青少年领域政策研究主业，以青少年发展状况、青少年现象、青少年组织、国际比较等为重点，为团中央和党政领导机关制定青少年政策法规、发展战略和工作决策，为青少年事业发展提供了重要的信息依据和决策参考。编辑出版《中国青年研究》一直保持在C</w:t>
      </w:r>
      <w:r>
        <w:rPr>
          <w:rFonts w:hint="eastAsia" w:ascii="Times New Roman" w:hAnsi="Times New Roman" w:eastAsia="方正仿宋_GBK" w:cs="Times New Roman"/>
          <w:sz w:val="32"/>
          <w:szCs w:val="32"/>
        </w:rPr>
        <w:t>SSCI</w:t>
      </w:r>
      <w:r>
        <w:rPr>
          <w:rFonts w:ascii="Times New Roman" w:hAnsi="Times New Roman" w:eastAsia="方正仿宋_GBK" w:cs="Times New Roman"/>
          <w:sz w:val="32"/>
          <w:szCs w:val="32"/>
        </w:rPr>
        <w:t>行列，《少年儿童研究》作为少年儿童研究领域特色期刊，影响因子不断提升，正在向核心期刊迈进。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中国青少年发展论坛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自2005年创办以来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已成功举办19届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成为全国青少年研究工作者的年度学术盛会。</w:t>
      </w:r>
    </w:p>
    <w:sectPr>
      <w:footerReference r:id="rId3" w:type="default"/>
      <w:pgSz w:w="11906" w:h="16838"/>
      <w:pgMar w:top="1985" w:right="1588" w:bottom="1985" w:left="1588" w:header="851" w:footer="992" w:gutter="0"/>
      <w:cols w:space="720" w:num="1"/>
      <w:docGrid w:type="lines" w:linePitch="313"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script"/>
    <w:pitch w:val="default"/>
    <w:sig w:usb0="A00002BF" w:usb1="38CF7CFA" w:usb2="00082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9185612"/>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849" w:firstLine="420"/>
      </w:pPr>
      <w:rPr>
        <w:rFonts w:hint="eastAsia"/>
      </w:rPr>
    </w:lvl>
  </w:abstractNum>
  <w:abstractNum w:abstractNumId="1">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13"/>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E55E84"/>
    <w:rsid w:val="00004517"/>
    <w:rsid w:val="000049EA"/>
    <w:rsid w:val="0000558A"/>
    <w:rsid w:val="000739A2"/>
    <w:rsid w:val="000D4F5D"/>
    <w:rsid w:val="00103CB4"/>
    <w:rsid w:val="00113E77"/>
    <w:rsid w:val="00145653"/>
    <w:rsid w:val="001A5F04"/>
    <w:rsid w:val="001C7DF4"/>
    <w:rsid w:val="00210DDD"/>
    <w:rsid w:val="002157A2"/>
    <w:rsid w:val="00222D2B"/>
    <w:rsid w:val="00240B02"/>
    <w:rsid w:val="0028059F"/>
    <w:rsid w:val="00332194"/>
    <w:rsid w:val="00336E4E"/>
    <w:rsid w:val="00365C1C"/>
    <w:rsid w:val="00382D78"/>
    <w:rsid w:val="003B6306"/>
    <w:rsid w:val="00417B56"/>
    <w:rsid w:val="004450BA"/>
    <w:rsid w:val="005114C6"/>
    <w:rsid w:val="0055428A"/>
    <w:rsid w:val="00572179"/>
    <w:rsid w:val="00577FAE"/>
    <w:rsid w:val="005A14C7"/>
    <w:rsid w:val="005B7D81"/>
    <w:rsid w:val="005C7961"/>
    <w:rsid w:val="0065780E"/>
    <w:rsid w:val="00663DA8"/>
    <w:rsid w:val="006A32D9"/>
    <w:rsid w:val="006B3F6C"/>
    <w:rsid w:val="006C29FD"/>
    <w:rsid w:val="0071077C"/>
    <w:rsid w:val="007169E8"/>
    <w:rsid w:val="007E310B"/>
    <w:rsid w:val="008231F5"/>
    <w:rsid w:val="008A5726"/>
    <w:rsid w:val="008B4363"/>
    <w:rsid w:val="0091119F"/>
    <w:rsid w:val="00932663"/>
    <w:rsid w:val="009420F3"/>
    <w:rsid w:val="009A27F1"/>
    <w:rsid w:val="009A6840"/>
    <w:rsid w:val="009B4F4C"/>
    <w:rsid w:val="009F374C"/>
    <w:rsid w:val="00A30AF5"/>
    <w:rsid w:val="00A40108"/>
    <w:rsid w:val="00A42A40"/>
    <w:rsid w:val="00A97579"/>
    <w:rsid w:val="00AA0D76"/>
    <w:rsid w:val="00AB1CE7"/>
    <w:rsid w:val="00AC2603"/>
    <w:rsid w:val="00AC5A22"/>
    <w:rsid w:val="00AE0FEE"/>
    <w:rsid w:val="00B0684D"/>
    <w:rsid w:val="00B9217B"/>
    <w:rsid w:val="00BA1332"/>
    <w:rsid w:val="00BD4E10"/>
    <w:rsid w:val="00BF1F72"/>
    <w:rsid w:val="00C31AA1"/>
    <w:rsid w:val="00C4375A"/>
    <w:rsid w:val="00C75C57"/>
    <w:rsid w:val="00D923E5"/>
    <w:rsid w:val="00D97150"/>
    <w:rsid w:val="00DE34CA"/>
    <w:rsid w:val="00E03BEB"/>
    <w:rsid w:val="00E22386"/>
    <w:rsid w:val="00E379BA"/>
    <w:rsid w:val="00E55E84"/>
    <w:rsid w:val="00EA6661"/>
    <w:rsid w:val="00ED3672"/>
    <w:rsid w:val="00EE4847"/>
    <w:rsid w:val="00F137C6"/>
    <w:rsid w:val="00F218C2"/>
    <w:rsid w:val="00F32DEC"/>
    <w:rsid w:val="00F54AFB"/>
    <w:rsid w:val="00F61D3F"/>
    <w:rsid w:val="00F65530"/>
    <w:rsid w:val="0C5D60B6"/>
    <w:rsid w:val="11DD55A3"/>
    <w:rsid w:val="1A385A6D"/>
    <w:rsid w:val="1FC5305C"/>
    <w:rsid w:val="24BD373E"/>
    <w:rsid w:val="2637307C"/>
    <w:rsid w:val="28CB3F50"/>
    <w:rsid w:val="2B4D3342"/>
    <w:rsid w:val="34CC52D7"/>
    <w:rsid w:val="35E46651"/>
    <w:rsid w:val="38606463"/>
    <w:rsid w:val="39C2541D"/>
    <w:rsid w:val="42373D53"/>
    <w:rsid w:val="49417BEA"/>
    <w:rsid w:val="4C96024D"/>
    <w:rsid w:val="54972DB4"/>
    <w:rsid w:val="554051FA"/>
    <w:rsid w:val="5BDC5C15"/>
    <w:rsid w:val="5C0A3293"/>
    <w:rsid w:val="5CFC234E"/>
    <w:rsid w:val="5FAB3BB8"/>
    <w:rsid w:val="6867746C"/>
    <w:rsid w:val="69782D5D"/>
    <w:rsid w:val="6CE02E9A"/>
    <w:rsid w:val="6ECC31E1"/>
    <w:rsid w:val="755912EA"/>
    <w:rsid w:val="77D86C49"/>
    <w:rsid w:val="7CF10F26"/>
    <w:rsid w:val="7D111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link w:val="14"/>
    <w:autoRedefine/>
    <w:unhideWhenUsed/>
    <w:qFormat/>
    <w:uiPriority w:val="9"/>
    <w:pPr>
      <w:keepNext/>
      <w:keepLines/>
      <w:widowControl/>
      <w:numPr>
        <w:ilvl w:val="0"/>
        <w:numId w:val="1"/>
      </w:numPr>
      <w:spacing w:line="560" w:lineRule="exact"/>
      <w:ind w:left="0" w:firstLine="640" w:firstLineChars="200"/>
      <w:jc w:val="left"/>
      <w:outlineLvl w:val="1"/>
    </w:pPr>
    <w:rPr>
      <w:rFonts w:ascii="方正黑体_GBK" w:hAnsi="方正黑体简体" w:eastAsia="方正黑体_GBK" w:cs="Times New Roman"/>
      <w:color w:val="000000" w:themeColor="text1"/>
      <w:kern w:val="0"/>
      <w:sz w:val="32"/>
      <w14:textFill>
        <w14:solidFill>
          <w14:schemeClr w14:val="tx1"/>
        </w14:solidFill>
      </w14:textFill>
      <w14:ligatures w14:val="none"/>
    </w:rPr>
  </w:style>
  <w:style w:type="paragraph" w:styleId="4">
    <w:name w:val="heading 3"/>
    <w:basedOn w:val="1"/>
    <w:next w:val="1"/>
    <w:link w:val="15"/>
    <w:autoRedefine/>
    <w:unhideWhenUsed/>
    <w:qFormat/>
    <w:uiPriority w:val="9"/>
    <w:pPr>
      <w:keepNext/>
      <w:keepLines/>
      <w:widowControl/>
      <w:numPr>
        <w:ilvl w:val="0"/>
        <w:numId w:val="2"/>
      </w:numPr>
      <w:tabs>
        <w:tab w:val="left" w:pos="0"/>
      </w:tabs>
      <w:spacing w:line="560" w:lineRule="exact"/>
      <w:ind w:firstLine="200" w:firstLineChars="200"/>
      <w:jc w:val="center"/>
      <w:outlineLvl w:val="2"/>
    </w:pPr>
    <w:rPr>
      <w:rFonts w:ascii="方正楷体简体" w:hAnsi="方正楷体简体" w:eastAsia="方正楷体简体" w:cs="Times New Roman"/>
      <w:color w:val="000000" w:themeColor="text1"/>
      <w:kern w:val="0"/>
      <w:sz w:val="32"/>
      <w:szCs w:val="32"/>
      <w14:textFill>
        <w14:solidFill>
          <w14:schemeClr w14:val="tx1"/>
        </w14:solidFill>
      </w14:textFill>
      <w14:ligatures w14:val="none"/>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styleId="9">
    <w:name w:val="Strong"/>
    <w:basedOn w:val="8"/>
    <w:autoRedefine/>
    <w:qFormat/>
    <w:uiPriority w:val="22"/>
    <w:rPr>
      <w:b/>
      <w:bCs/>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6"/>
    <w:autoRedefine/>
    <w:qFormat/>
    <w:uiPriority w:val="99"/>
    <w:rPr>
      <w:sz w:val="18"/>
      <w:szCs w:val="18"/>
    </w:rPr>
  </w:style>
  <w:style w:type="character" w:customStyle="1" w:styleId="12">
    <w:name w:val="页脚 字符"/>
    <w:basedOn w:val="8"/>
    <w:link w:val="5"/>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2 字符"/>
    <w:basedOn w:val="8"/>
    <w:link w:val="3"/>
    <w:autoRedefine/>
    <w:qFormat/>
    <w:uiPriority w:val="9"/>
    <w:rPr>
      <w:rFonts w:ascii="方正黑体_GBK" w:hAnsi="方正黑体简体" w:eastAsia="方正黑体_GBK" w:cs="Times New Roman"/>
      <w:color w:val="000000" w:themeColor="text1"/>
      <w:kern w:val="0"/>
      <w:sz w:val="32"/>
      <w14:textFill>
        <w14:solidFill>
          <w14:schemeClr w14:val="tx1"/>
        </w14:solidFill>
      </w14:textFill>
      <w14:ligatures w14:val="none"/>
    </w:rPr>
  </w:style>
  <w:style w:type="character" w:customStyle="1" w:styleId="15">
    <w:name w:val="标题 3 字符"/>
    <w:basedOn w:val="8"/>
    <w:link w:val="4"/>
    <w:uiPriority w:val="9"/>
    <w:rPr>
      <w:rFonts w:ascii="方正楷体简体" w:hAnsi="方正楷体简体" w:eastAsia="方正楷体简体" w:cs="Times New Roman"/>
      <w:color w:val="000000" w:themeColor="text1"/>
      <w:kern w:val="0"/>
      <w:sz w:val="32"/>
      <w:szCs w:val="32"/>
      <w14:textFill>
        <w14:solidFill>
          <w14:schemeClr w14:val="tx1"/>
        </w14:solidFill>
      </w14:textFill>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653</Words>
  <Characters>3728</Characters>
  <Lines>31</Lines>
  <Paragraphs>8</Paragraphs>
  <TotalTime>0</TotalTime>
  <ScaleCrop>false</ScaleCrop>
  <LinksUpToDate>false</LinksUpToDate>
  <CharactersWithSpaces>4373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2024-03-30T22:16:00Z</dcterms:created>
  <dc:creator>郭元凯</dc:creator>
  <cp:lastModifiedBy>朱赫</cp:lastModifiedBy>
  <dcterms:modified xsi:type="dcterms:W3CDTF">2024-04-17T00:43:06Z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1C90798A048B461993C479DD1D1D6E9D_12</vt:lpwstr>
  </property>
</Properties>
</file>