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36：</w:t>
      </w:r>
      <w:bookmarkStart w:id="0" w:name="_GoBack"/>
      <w:bookmarkEnd w:id="0"/>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“未来粮食供应的合成生物学创新解决</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方案”比赛方案</w:t>
      </w:r>
    </w:p>
    <w:p>
      <w:pPr>
        <w:widowControl/>
        <w:spacing w:line="640" w:lineRule="exact"/>
        <w:jc w:val="center"/>
        <w:rPr>
          <w:rFonts w:hint="eastAsia" w:ascii="方正楷体_GBK" w:hAnsi="方正楷体_GBK" w:eastAsia="方正楷体_GBK" w:cs="方正楷体_GBK"/>
          <w:sz w:val="28"/>
          <w:szCs w:val="30"/>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（中粮营养健康研究院有限公司）</w:t>
      </w:r>
    </w:p>
    <w:p>
      <w:pPr>
        <w:spacing w:line="520" w:lineRule="exact"/>
        <w:ind w:firstLine="440" w:firstLineChars="200"/>
        <w:jc w:val="center"/>
        <w:rPr>
          <w:rFonts w:eastAsia="方正黑体_GBK"/>
          <w:sz w:val="22"/>
          <w:szCs w:val="30"/>
        </w:rPr>
      </w:pP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一、组织单位</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eastAsia="方正仿宋_GBK"/>
          <w:sz w:val="32"/>
          <w:szCs w:val="32"/>
        </w:rPr>
        <w:t>中粮营养健康研究院有限公司</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二、参赛题目</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未来粮食供应的合成生物学创新解决方案</w:t>
      </w:r>
    </w:p>
    <w:p>
      <w:pPr>
        <w:pStyle w:val="3"/>
        <w:pageBreakBefore w:val="0"/>
        <w:kinsoku/>
        <w:wordWrap/>
        <w:overflowPunct/>
        <w:topLinePunct w:val="0"/>
        <w:autoSpaceDE/>
        <w:autoSpaceDN/>
        <w:bidi w:val="0"/>
        <w:adjustRightInd/>
        <w:snapToGrid/>
        <w:ind w:left="0" w:firstLine="640" w:firstLineChars="200"/>
        <w:jc w:val="both"/>
        <w:textAlignment w:val="auto"/>
        <w:rPr>
          <w:rFonts w:eastAsia="方正黑体_GBK"/>
          <w:szCs w:val="32"/>
        </w:rPr>
      </w:pPr>
      <w:r>
        <w:rPr>
          <w:rFonts w:eastAsia="方正黑体_GBK"/>
          <w:szCs w:val="32"/>
        </w:rPr>
        <w:t>三、题目介绍</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粮食是关系国计民生的重要战略资源，粮食安全是“国之大者”。党中央高度重视国家粮食安全工作，把解决好十几亿人的吃饭问题作为治国理政的头等大事，实施国家粮食安全战略，不断提高我国粮食综合生产能力，坚持藏粮于地、藏粮于技，守住国家粮食安全底线尤为重要。2024年中央一号文件强调“两个确保”，排在第一位的就是确保国家粮食安全，确保粮食安全需要从增产保供和节粮减损双向发力。目前，我国粮食需求刚性增长，资源环境约束日益趋紧，粮食增面积、提产量的难度越来越大。如何“把中国人的饭碗牢牢端在自己手中”，如何保障十四亿人吃饱吃好，是新时期我国正在面临的重大挑战。因此，拓展粮食供应体系、强化未来食品创新、布局未来健康产业刻不容缓。</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合成生物学</w:t>
      </w:r>
      <w:r>
        <w:rPr>
          <w:rFonts w:hint="eastAsia" w:eastAsia="方正仿宋_GBK"/>
          <w:sz w:val="32"/>
          <w:szCs w:val="32"/>
          <w:lang w:eastAsia="zh-CN"/>
        </w:rPr>
        <w:t>，</w:t>
      </w:r>
      <w:r>
        <w:rPr>
          <w:rFonts w:hint="eastAsia" w:eastAsia="方正仿宋_GBK"/>
          <w:sz w:val="32"/>
          <w:szCs w:val="32"/>
        </w:rPr>
        <w:t>以其构建、控制和编程细胞行为的能力</w:t>
      </w:r>
      <w:r>
        <w:rPr>
          <w:rFonts w:hint="eastAsia" w:eastAsia="方正仿宋_GBK"/>
          <w:sz w:val="32"/>
          <w:szCs w:val="32"/>
          <w:lang w:eastAsia="zh-CN"/>
        </w:rPr>
        <w:t>，</w:t>
      </w:r>
      <w:r>
        <w:rPr>
          <w:rFonts w:hint="eastAsia" w:eastAsia="方正仿宋_GBK"/>
          <w:sz w:val="32"/>
          <w:szCs w:val="32"/>
        </w:rPr>
        <w:t>展现出了其在农粮食品领域应用的巨大潜力，被称为继“DNA双螺旋结构的发现”和“人类基因组计划”之后的第三次生物技术革命，是“粮食安全”“大食物观”“碳中和”发展战略的重要诠释，当前合成生物学技术已成为全球主要经济体国家战略竞争新焦点。</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方正楷体_GBK"/>
          <w:sz w:val="32"/>
          <w:szCs w:val="32"/>
        </w:rPr>
      </w:pPr>
      <w:r>
        <w:rPr>
          <w:rFonts w:hint="default" w:ascii="Times New Roman" w:hAnsi="Times New Roman" w:eastAsia="方正楷体_GBK" w:cs="Times New Roman"/>
          <w:kern w:val="2"/>
          <w:sz w:val="32"/>
          <w:szCs w:val="32"/>
          <w:lang w:val="en-US" w:eastAsia="zh-CN" w:bidi="ar-SA"/>
        </w:rPr>
        <w:t>1.</w:t>
      </w:r>
      <w:r>
        <w:rPr>
          <w:rFonts w:hint="eastAsia" w:eastAsia="方正楷体_GBK"/>
          <w:sz w:val="32"/>
          <w:szCs w:val="32"/>
        </w:rPr>
        <w:t>增产保供：践行大食物观，构建多元化食物供给体系</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以合成生物学技术为核心，聚焦向微生物要热量、要蛋白和多元化原料制粮的全新技术方案，旨在全方位、多途径拓展粮食资源，既要满足人民对“量”的需要，也要满足人民对“质”的追求。创新粮食多效营养，开发粮食多重功能，革新国家粮食供应体系。</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方正楷体_GBK"/>
          <w:sz w:val="32"/>
          <w:szCs w:val="32"/>
        </w:rPr>
      </w:pPr>
      <w:r>
        <w:rPr>
          <w:rFonts w:hint="default" w:ascii="Times New Roman" w:hAnsi="Times New Roman" w:eastAsia="方正楷体_GBK" w:cs="Times New Roman"/>
          <w:kern w:val="2"/>
          <w:sz w:val="32"/>
          <w:szCs w:val="32"/>
          <w:lang w:val="en-US" w:eastAsia="zh-CN" w:bidi="ar-SA"/>
        </w:rPr>
        <w:t>2.</w:t>
      </w:r>
      <w:r>
        <w:rPr>
          <w:rFonts w:hint="eastAsia" w:eastAsia="方正楷体_GBK"/>
          <w:sz w:val="32"/>
          <w:szCs w:val="32"/>
        </w:rPr>
        <w:t>节粮减损：落实“藏粮于技”全产业链保障粮食安全</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聚焦种植、收储、生产加工等环节节粮减损需求，开发全链条保障粮食供应安全的合成生物新技术、新工艺、新方案。</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参赛队伍可选择上述但不限于上述可对“增产保供”和“节粮减损”起到关键作用的措施和技术手段为开发方向，开展方案设计。</w:t>
      </w:r>
    </w:p>
    <w:p>
      <w:pPr>
        <w:pStyle w:val="3"/>
        <w:pageBreakBefore w:val="0"/>
        <w:kinsoku/>
        <w:wordWrap/>
        <w:overflowPunct/>
        <w:topLinePunct w:val="0"/>
        <w:autoSpaceDE/>
        <w:autoSpaceDN/>
        <w:bidi w:val="0"/>
        <w:adjustRightInd/>
        <w:snapToGrid/>
        <w:ind w:left="0" w:firstLine="640" w:firstLineChars="200"/>
        <w:jc w:val="both"/>
        <w:textAlignment w:val="auto"/>
        <w:rPr>
          <w:rFonts w:hint="eastAsia" w:eastAsia="方正黑体_GBK"/>
          <w:szCs w:val="32"/>
          <w:lang w:val="en-US" w:eastAsia="zh-CN"/>
        </w:rPr>
      </w:pPr>
      <w:r>
        <w:rPr>
          <w:rFonts w:eastAsia="方正黑体_GBK"/>
          <w:szCs w:val="32"/>
        </w:rPr>
        <w:t>四、</w:t>
      </w:r>
      <w:r>
        <w:rPr>
          <w:rFonts w:hint="eastAsia" w:eastAsia="方正黑体_GBK"/>
          <w:szCs w:val="32"/>
          <w:lang w:val="en-US"/>
        </w:rPr>
        <w:t>参赛</w:t>
      </w:r>
      <w:r>
        <w:rPr>
          <w:rFonts w:hint="eastAsia" w:eastAsia="方正黑体_GBK"/>
          <w:szCs w:val="32"/>
          <w:lang w:val="en-US" w:eastAsia="zh-CN"/>
        </w:rPr>
        <w:t>对象</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毕业设计和课程设计（论文）、学年论文和学位论文、国际竞赛中获奖的作品、获国家级奖励成果（含本竞赛主办单位参与举办的其他全国性竞赛的获奖作品）等均不在申报范围之列。</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每件作品仅可由1所高校推报，高校在推报前要对参赛团队成员及作品进行相关资格审查。</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firstLine="640" w:firstLineChars="200"/>
        <w:jc w:val="both"/>
        <w:textAlignment w:val="auto"/>
        <w:rPr>
          <w:rFonts w:hint="eastAsia" w:eastAsia="方正黑体_GBK"/>
          <w:szCs w:val="32"/>
        </w:rPr>
      </w:pPr>
      <w:r>
        <w:rPr>
          <w:rFonts w:hint="eastAsia" w:eastAsia="方正黑体_GBK"/>
          <w:szCs w:val="32"/>
          <w:lang w:val="en-US" w:eastAsia="zh-CN"/>
        </w:rPr>
        <w:t>五、</w:t>
      </w:r>
      <w:r>
        <w:rPr>
          <w:rFonts w:hint="eastAsia" w:eastAsia="方正黑体_GBK"/>
          <w:szCs w:val="32"/>
        </w:rPr>
        <w:t>作品要求</w:t>
      </w:r>
    </w:p>
    <w:p>
      <w:pPr>
        <w:pStyle w:val="3"/>
        <w:pageBreakBefore w:val="0"/>
        <w:kinsoku/>
        <w:wordWrap/>
        <w:overflowPunct/>
        <w:topLinePunct w:val="0"/>
        <w:autoSpaceDE/>
        <w:autoSpaceDN/>
        <w:bidi w:val="0"/>
        <w:adjustRightInd/>
        <w:snapToGrid/>
        <w:ind w:left="0" w:firstLine="640" w:firstLineChars="200"/>
        <w:jc w:val="both"/>
        <w:textAlignment w:val="auto"/>
        <w:rPr>
          <w:rFonts w:eastAsia="方正仿宋_GBK"/>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eastAsia="方正仿宋_GBK"/>
          <w:color w:val="000000" w:themeColor="text1"/>
          <w:sz w:val="32"/>
          <w:szCs w:val="32"/>
          <w:lang w:val="en-US" w:eastAsia="zh-CN"/>
          <w14:textFill>
            <w14:solidFill>
              <w14:schemeClr w14:val="tx1"/>
            </w14:solidFill>
          </w14:textFill>
        </w:rPr>
        <w:t xml:space="preserve"> </w:t>
      </w:r>
      <w:r>
        <w:rPr>
          <w:rFonts w:hint="eastAsia" w:eastAsia="方正仿宋_GBK"/>
          <w:sz w:val="32"/>
          <w:szCs w:val="32"/>
        </w:rPr>
        <w:t>各参赛队伍需提交《项目研究报告》</w:t>
      </w:r>
      <w:r>
        <w:rPr>
          <w:rFonts w:hint="default" w:ascii="Times New Roman" w:hAnsi="Times New Roman" w:eastAsia="方正仿宋_GBK" w:cs="Times New Roman"/>
          <w:sz w:val="32"/>
          <w:szCs w:val="32"/>
        </w:rPr>
        <w:t>Word</w:t>
      </w:r>
      <w:r>
        <w:rPr>
          <w:rFonts w:hint="eastAsia" w:eastAsia="方正仿宋_GBK"/>
          <w:sz w:val="32"/>
          <w:szCs w:val="32"/>
        </w:rPr>
        <w:t>版和</w:t>
      </w:r>
      <w:r>
        <w:rPr>
          <w:rFonts w:hint="eastAsia" w:ascii="Times New Roman" w:hAnsi="Times New Roman" w:eastAsia="方正仿宋_GBK" w:cs="Times New Roman"/>
          <w:sz w:val="32"/>
          <w:szCs w:val="32"/>
        </w:rPr>
        <w:t>PPT</w:t>
      </w:r>
      <w:r>
        <w:rPr>
          <w:rFonts w:hint="eastAsia" w:eastAsia="方正仿宋_GBK"/>
          <w:sz w:val="32"/>
          <w:szCs w:val="32"/>
        </w:rPr>
        <w:t>版各一份。</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2. </w:t>
      </w:r>
      <w:r>
        <w:rPr>
          <w:rFonts w:hint="eastAsia" w:eastAsia="方正仿宋_GBK"/>
          <w:sz w:val="32"/>
          <w:szCs w:val="32"/>
        </w:rPr>
        <w:t>Word版报告内容包括但不限于项目概况、项目背景及意义、主要研究内容、实验材料、实验方法、技术路线、研究结果及结论等，重要结论需提供相关支撑证明材料(包括但不限于相关专利、鉴定报告、质检报告等)。</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3. </w:t>
      </w:r>
      <w:r>
        <w:rPr>
          <w:rFonts w:hint="eastAsia" w:eastAsia="方正仿宋_GBK"/>
          <w:sz w:val="32"/>
          <w:szCs w:val="32"/>
        </w:rPr>
        <w:t>PPT版报告内容包括但不限于项目背景、发展现状及趋势分析、研究思路及技术路线、主要研究内容、核心技术/创新点、重要结论、研究成果产业化落地性（包括但不限于技术及工艺成本、成本测算依据、应用场景、产业化路径等）。</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4. </w:t>
      </w:r>
      <w:r>
        <w:rPr>
          <w:rFonts w:hint="eastAsia" w:eastAsia="方正仿宋_GBK"/>
          <w:sz w:val="32"/>
          <w:szCs w:val="32"/>
        </w:rPr>
        <w:t>所有提交材料均要求观点明确，图文并茂、数据准确，结构完整，文字简洁流畅，内容必须紧紧围绕本次项目的主题，结合本企业具体实际，对解决实际问题具有指导意义，并具有一定的创新性。</w:t>
      </w:r>
    </w:p>
    <w:p>
      <w:pPr>
        <w:pStyle w:val="3"/>
        <w:pageBreakBefore w:val="0"/>
        <w:kinsoku/>
        <w:wordWrap/>
        <w:overflowPunct/>
        <w:topLinePunct w:val="0"/>
        <w:autoSpaceDE/>
        <w:autoSpaceDN/>
        <w:bidi w:val="0"/>
        <w:adjustRightInd/>
        <w:snapToGrid/>
        <w:ind w:left="0" w:firstLine="640" w:firstLineChars="200"/>
        <w:jc w:val="both"/>
        <w:textAlignment w:val="auto"/>
        <w:rPr>
          <w:rFonts w:hint="eastAsia" w:eastAsia="方正黑体_GBK"/>
          <w:szCs w:val="32"/>
          <w:lang w:eastAsia="zh-CN"/>
        </w:rPr>
      </w:pPr>
      <w:r>
        <w:rPr>
          <w:rFonts w:hint="eastAsia" w:eastAsia="方正黑体_GBK"/>
          <w:szCs w:val="32"/>
          <w:lang w:val="en-US" w:eastAsia="zh-CN"/>
        </w:rPr>
        <w:t>六、</w:t>
      </w:r>
      <w:r>
        <w:rPr>
          <w:rFonts w:hint="eastAsia" w:eastAsia="方正黑体_GBK"/>
          <w:szCs w:val="32"/>
          <w:lang w:eastAsia="zh-CN"/>
        </w:rPr>
        <w:t>作品提交</w:t>
      </w:r>
      <w:r>
        <w:rPr>
          <w:rFonts w:hint="eastAsia" w:eastAsia="方正黑体_GBK"/>
          <w:szCs w:val="32"/>
          <w:lang w:val="en-US" w:eastAsia="zh-CN"/>
        </w:rPr>
        <w:t>方式</w:t>
      </w:r>
      <w:r>
        <w:rPr>
          <w:rFonts w:hint="eastAsia" w:eastAsia="方正黑体_GBK"/>
          <w:szCs w:val="32"/>
          <w:lang w:eastAsia="zh-CN"/>
        </w:rPr>
        <w:t>及时间</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1. </w:t>
      </w:r>
      <w:r>
        <w:rPr>
          <w:rFonts w:hint="eastAsia" w:eastAsia="方正仿宋_GBK"/>
          <w:sz w:val="32"/>
          <w:szCs w:val="32"/>
        </w:rPr>
        <w:t>高校渠道参赛请通过PC电脑登录</w:t>
      </w:r>
      <w:r>
        <w:rPr>
          <w:rFonts w:eastAsia="方正仿宋_GBK"/>
          <w:sz w:val="32"/>
          <w:szCs w:val="32"/>
        </w:rPr>
        <w:t>https://tzb.xc.eol.cn/</w:t>
      </w:r>
      <w:r>
        <w:rPr>
          <w:rFonts w:hint="eastAsia" w:eastAsia="方正仿宋_GBK"/>
          <w:sz w:val="32"/>
          <w:szCs w:val="32"/>
        </w:rPr>
        <w:t>，查阅选题信息及要求。</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2. </w:t>
      </w:r>
      <w:r>
        <w:rPr>
          <w:rFonts w:hint="eastAsia" w:eastAsia="方正仿宋_GBK"/>
          <w:sz w:val="32"/>
          <w:szCs w:val="32"/>
        </w:rPr>
        <w:t>确认报名选题后，在线填写报名表（请注意报名表格式、要求）。</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3. </w:t>
      </w:r>
      <w:r>
        <w:rPr>
          <w:rFonts w:hint="eastAsia" w:eastAsia="方正仿宋_GBK"/>
          <w:sz w:val="32"/>
          <w:szCs w:val="32"/>
        </w:rPr>
        <w:t>填写完报名表后，下载电子版报名表。将电子版报名表打印，由所在学校的学籍管理部门、院系负责人或导师、学校团委，三方进行盖章或签字。</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color w:val="000000" w:themeColor="text1"/>
          <w:sz w:val="32"/>
          <w:szCs w:val="32"/>
          <w:lang w:val="en-US" w:eastAsia="zh-CN"/>
          <w14:textFill>
            <w14:solidFill>
              <w14:schemeClr w14:val="tx1"/>
            </w14:solidFill>
          </w14:textFill>
        </w:rPr>
        <w:t xml:space="preserve">4. </w:t>
      </w:r>
      <w:r>
        <w:rPr>
          <w:rFonts w:hint="eastAsia" w:eastAsia="方正仿宋_GBK"/>
          <w:sz w:val="32"/>
          <w:szCs w:val="32"/>
        </w:rPr>
        <w:t>盖章签字流程完成后，扫描电子版盖章件，将盖章件上传至系统并提交，提交后耐心等待所在学校及发榜单位进行系统审核。</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 xml:space="preserve">5. </w:t>
      </w:r>
      <w:r>
        <w:rPr>
          <w:rFonts w:hint="eastAsia" w:eastAsia="方正仿宋_GBK"/>
          <w:sz w:val="32"/>
          <w:szCs w:val="32"/>
        </w:rPr>
        <w:t>登录系统查看审核状态。如申报表审核不通过，需重新提交。如申报表审核通过，请于</w:t>
      </w:r>
      <w:r>
        <w:rPr>
          <w:rFonts w:eastAsia="方正仿宋_GBK"/>
          <w:sz w:val="32"/>
          <w:szCs w:val="32"/>
        </w:rPr>
        <w:t>202</w:t>
      </w:r>
      <w:r>
        <w:rPr>
          <w:rFonts w:hint="eastAsia" w:eastAsia="方正仿宋_GBK"/>
          <w:sz w:val="32"/>
          <w:szCs w:val="32"/>
        </w:rPr>
        <w:t>4</w:t>
      </w:r>
      <w:r>
        <w:rPr>
          <w:rFonts w:eastAsia="方正仿宋_GBK"/>
          <w:sz w:val="32"/>
          <w:szCs w:val="32"/>
        </w:rPr>
        <w:t>年</w:t>
      </w:r>
      <w:r>
        <w:rPr>
          <w:rFonts w:hint="eastAsia" w:eastAsia="方正仿宋_GBK"/>
          <w:sz w:val="32"/>
          <w:szCs w:val="32"/>
        </w:rPr>
        <w:t>7月25日前</w:t>
      </w:r>
      <w:r>
        <w:rPr>
          <w:rFonts w:eastAsia="方正仿宋_GBK"/>
          <w:sz w:val="32"/>
          <w:szCs w:val="32"/>
        </w:rPr>
        <w:t>，</w:t>
      </w:r>
      <w:r>
        <w:rPr>
          <w:rFonts w:hint="eastAsia" w:eastAsia="方正仿宋_GBK"/>
          <w:sz w:val="32"/>
          <w:szCs w:val="32"/>
        </w:rPr>
        <w:t>将纸质盖章表邮寄至中粮营养健康研究院（收件人信息：北京市昌平区北七家镇未来科学城南区四路，中粮营养健康研究院，赵鑫</w:t>
      </w:r>
      <w:r>
        <w:rPr>
          <w:rFonts w:hint="eastAsia" w:eastAsia="方正仿宋_GBK"/>
          <w:sz w:val="32"/>
          <w:szCs w:val="32"/>
          <w:lang w:eastAsia="zh-CN"/>
        </w:rPr>
        <w:t>，</w:t>
      </w:r>
      <w:r>
        <w:rPr>
          <w:rFonts w:hint="eastAsia" w:eastAsia="方正仿宋_GBK"/>
          <w:sz w:val="32"/>
          <w:szCs w:val="32"/>
        </w:rPr>
        <w:t>13910998612），</w:t>
      </w:r>
      <w:r>
        <w:rPr>
          <w:rFonts w:eastAsia="方正仿宋_GBK"/>
          <w:color w:val="000000" w:themeColor="text1"/>
          <w:sz w:val="32"/>
          <w:szCs w:val="32"/>
          <w14:textFill>
            <w14:solidFill>
              <w14:schemeClr w14:val="tx1"/>
            </w14:solidFill>
          </w14:textFill>
        </w:rPr>
        <w:t>具体操作流程详见报名网站《操作手册》。</w:t>
      </w:r>
      <w:r>
        <w:rPr>
          <w:rFonts w:hint="eastAsia" w:eastAsia="方正仿宋_GBK"/>
          <w:color w:val="000000" w:themeColor="text1"/>
          <w:sz w:val="32"/>
          <w:szCs w:val="32"/>
          <w14:textFill>
            <w14:solidFill>
              <w14:schemeClr w14:val="tx1"/>
            </w14:solidFill>
          </w14:textFill>
        </w:rPr>
        <w:t>并将申报表扫描件、</w:t>
      </w:r>
      <w:r>
        <w:rPr>
          <w:rFonts w:hint="eastAsia" w:eastAsia="方正仿宋_GBK"/>
          <w:sz w:val="32"/>
          <w:szCs w:val="32"/>
        </w:rPr>
        <w:t>作品及附件等整理成压缩文件，并以“XXX大学—XXX团队—XX题目—联系方式”命名后</w:t>
      </w:r>
      <w:r>
        <w:rPr>
          <w:rFonts w:eastAsia="方正仿宋_GBK"/>
          <w:sz w:val="32"/>
          <w:szCs w:val="32"/>
        </w:rPr>
        <w:t>发送至</w:t>
      </w:r>
      <w:r>
        <w:rPr>
          <w:rFonts w:hint="eastAsia" w:eastAsia="方正仿宋_GBK"/>
          <w:sz w:val="32"/>
          <w:szCs w:val="32"/>
        </w:rPr>
        <w:t>邮箱</w:t>
      </w:r>
      <w:r>
        <w:rPr>
          <w:rStyle w:val="12"/>
          <w:sz w:val="32"/>
          <w:szCs w:val="32"/>
        </w:rPr>
        <w:t>nhritw@cofco.com</w:t>
      </w:r>
      <w:r>
        <w:rPr>
          <w:rFonts w:hint="eastAsia" w:eastAsia="方正仿宋_GBK"/>
          <w:sz w:val="32"/>
          <w:szCs w:val="32"/>
        </w:rPr>
        <w:t>。</w:t>
      </w:r>
      <w:r>
        <w:rPr>
          <w:rFonts w:eastAsia="方正仿宋_GBK"/>
          <w:sz w:val="32"/>
          <w:szCs w:val="32"/>
        </w:rPr>
        <w:t>如附件较大，可将附件传至网盘，</w:t>
      </w:r>
      <w:r>
        <w:rPr>
          <w:rFonts w:hint="eastAsia" w:eastAsia="方正仿宋_GBK"/>
          <w:sz w:val="32"/>
          <w:szCs w:val="32"/>
        </w:rPr>
        <w:t>并将</w:t>
      </w:r>
      <w:r>
        <w:rPr>
          <w:rFonts w:eastAsia="方正仿宋_GBK"/>
          <w:sz w:val="32"/>
          <w:szCs w:val="32"/>
        </w:rPr>
        <w:t>网盘链接及密码附在邮件正文中。</w:t>
      </w:r>
    </w:p>
    <w:p>
      <w:pPr>
        <w:pStyle w:val="3"/>
        <w:pageBreakBefore w:val="0"/>
        <w:kinsoku/>
        <w:wordWrap/>
        <w:overflowPunct/>
        <w:topLinePunct w:val="0"/>
        <w:autoSpaceDE/>
        <w:autoSpaceDN/>
        <w:bidi w:val="0"/>
        <w:adjustRightInd/>
        <w:snapToGrid/>
        <w:ind w:left="0" w:firstLine="640" w:firstLineChars="200"/>
        <w:jc w:val="both"/>
        <w:textAlignment w:val="auto"/>
        <w:rPr>
          <w:rFonts w:hint="eastAsia" w:eastAsia="方正黑体_GBK"/>
          <w:szCs w:val="32"/>
          <w:lang w:eastAsia="zh-CN"/>
        </w:rPr>
      </w:pPr>
      <w:r>
        <w:rPr>
          <w:rFonts w:hint="eastAsia" w:eastAsia="方正黑体_GBK"/>
          <w:szCs w:val="32"/>
          <w:lang w:val="en-US" w:eastAsia="zh-CN"/>
        </w:rPr>
        <w:t>七、</w:t>
      </w:r>
      <w:r>
        <w:rPr>
          <w:rFonts w:hint="eastAsia" w:eastAsia="方正黑体_GBK"/>
          <w:szCs w:val="32"/>
          <w:lang w:eastAsia="zh-CN"/>
        </w:rPr>
        <w:t>赛事安排</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 xml:space="preserve">1. </w:t>
      </w:r>
      <w:r>
        <w:rPr>
          <w:rFonts w:hint="eastAsia" w:ascii="Times New Roman" w:hAnsi="Times New Roman" w:eastAsia="方正楷体_GBK"/>
          <w:color w:val="000000" w:themeColor="text1"/>
          <w:lang w:val="en-US"/>
          <w14:textFill>
            <w14:solidFill>
              <w14:schemeClr w14:val="tx1"/>
            </w14:solidFill>
          </w14:textFill>
        </w:rPr>
        <w:t>竞榜</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2024年</w:t>
      </w:r>
      <w:r>
        <w:rPr>
          <w:rFonts w:hint="eastAsia" w:eastAsia="方正仿宋_GBK"/>
          <w:sz w:val="32"/>
          <w:szCs w:val="32"/>
          <w:lang w:val="en-US" w:eastAsia="zh-CN"/>
        </w:rPr>
        <w:t>4</w:t>
      </w:r>
      <w:r>
        <w:rPr>
          <w:rFonts w:hint="eastAsia" w:eastAsia="方正仿宋_GBK"/>
          <w:sz w:val="32"/>
          <w:szCs w:val="32"/>
        </w:rPr>
        <w:t>月-2024年7月，各参赛团队选择榜单中的题目开展科研攻关。各高校“挑战杯”竞赛组织协调机构要积极组织学生参赛，安排有关老师给予指导，为参赛团队提供支持保障。7月25日前提交作品。</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 xml:space="preserve">2. </w:t>
      </w:r>
      <w:r>
        <w:rPr>
          <w:rFonts w:hint="eastAsia" w:ascii="Times New Roman" w:hAnsi="Times New Roman" w:eastAsia="方正楷体_GBK"/>
          <w:color w:val="000000" w:themeColor="text1"/>
          <w:lang w:val="en-US"/>
          <w14:textFill>
            <w14:solidFill>
              <w14:schemeClr w14:val="tx1"/>
            </w14:solidFill>
          </w14:textFill>
        </w:rPr>
        <w:t>评榜</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2024年8月，组委会和中粮营养健康研究院共同开展初审，确定入围终审的晋级作品和团队。</w:t>
      </w:r>
    </w:p>
    <w:p>
      <w:pPr>
        <w:pStyle w:val="4"/>
        <w:pageBreakBefore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夺榜</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2024年9月，本选题晋级团队完善作品，中粮营养健康研究院安排专门团队提供帮助和指导，冲刺攻关参加终审和“擂台赛”。获得特等奖的团队晋级最终“擂台赛”，并进行现场展示和答辩，“擂台赛”环节对榜单的每个选题原则上评出1个“擂主”。出题方与“擂主”团队现场签约并给予奖励。</w:t>
      </w:r>
    </w:p>
    <w:p>
      <w:pPr>
        <w:pStyle w:val="3"/>
        <w:pageBreakBefore w:val="0"/>
        <w:kinsoku/>
        <w:wordWrap/>
        <w:overflowPunct/>
        <w:topLinePunct w:val="0"/>
        <w:autoSpaceDE/>
        <w:autoSpaceDN/>
        <w:bidi w:val="0"/>
        <w:adjustRightInd/>
        <w:snapToGrid/>
        <w:ind w:left="0" w:firstLine="640" w:firstLineChars="200"/>
        <w:jc w:val="both"/>
        <w:textAlignment w:val="auto"/>
        <w:rPr>
          <w:rFonts w:eastAsia="方正黑体_GBK"/>
          <w:szCs w:val="32"/>
          <w:lang w:val="en-US" w:eastAsia="zh-CN"/>
        </w:rPr>
      </w:pPr>
      <w:r>
        <w:rPr>
          <w:rFonts w:hint="eastAsia" w:eastAsia="方正黑体_GBK"/>
          <w:szCs w:val="32"/>
          <w:lang w:val="en-US" w:eastAsia="zh-CN"/>
        </w:rPr>
        <w:t>八、设奖情况及</w:t>
      </w:r>
      <w:r>
        <w:rPr>
          <w:rFonts w:eastAsia="方正黑体_GBK"/>
          <w:szCs w:val="32"/>
          <w:lang w:val="en-US" w:eastAsia="zh-CN"/>
        </w:rPr>
        <w:t>奖励措施</w:t>
      </w:r>
    </w:p>
    <w:p>
      <w:pPr>
        <w:pStyle w:val="4"/>
        <w:pageBreakBefore w:val="0"/>
        <w:numPr>
          <w:ilvl w:val="0"/>
          <w:numId w:val="2"/>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本选题设特等奖5个，一等奖10个、二等奖各15个、三等奖各18个。获得特等奖的团队晋级最终“擂台赛”。</w:t>
      </w:r>
    </w:p>
    <w:p>
      <w:pPr>
        <w:pStyle w:val="4"/>
        <w:pageBreakBefore w:val="0"/>
        <w:numPr>
          <w:ilvl w:val="0"/>
          <w:numId w:val="2"/>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“擂主”奖金10000元，特等奖奖金4000元，一等奖奖金3000元，二等奖奖金2000元，三等奖奖金1000元。擂主奖金与特等奖奖金可累加，即14000元。</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对于选择本题目的学生可优先安排实习工作，对获奖且有意愿到公司工作的学生可优先录用。</w:t>
      </w:r>
    </w:p>
    <w:p>
      <w:pPr>
        <w:pStyle w:val="3"/>
        <w:pageBreakBefore w:val="0"/>
        <w:kinsoku/>
        <w:wordWrap/>
        <w:overflowPunct/>
        <w:topLinePunct w:val="0"/>
        <w:autoSpaceDE/>
        <w:autoSpaceDN/>
        <w:bidi w:val="0"/>
        <w:adjustRightInd/>
        <w:snapToGrid/>
        <w:ind w:left="0" w:firstLine="640" w:firstLineChars="200"/>
        <w:jc w:val="both"/>
        <w:textAlignment w:val="auto"/>
        <w:rPr>
          <w:rFonts w:hint="eastAsia" w:eastAsia="方正黑体_GBK"/>
          <w:szCs w:val="32"/>
          <w:lang w:val="en-US" w:eastAsia="zh-CN"/>
        </w:rPr>
      </w:pPr>
      <w:r>
        <w:rPr>
          <w:rFonts w:hint="eastAsia" w:eastAsia="方正黑体_GBK"/>
          <w:szCs w:val="32"/>
          <w:lang w:val="en-US" w:eastAsia="zh-CN"/>
        </w:rPr>
        <w:t>九、保障措施</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本选题设专项赛专班，专门人员负责比赛联络组织和赛务工作，专门技术指导团队及时解答参赛选手的相关技术问题。</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eastAsia="方正仿宋_GBK"/>
          <w:sz w:val="32"/>
          <w:szCs w:val="32"/>
        </w:rPr>
      </w:pPr>
      <w:r>
        <w:rPr>
          <w:rFonts w:hint="eastAsia" w:eastAsia="方正仿宋_GBK"/>
          <w:sz w:val="32"/>
          <w:szCs w:val="32"/>
        </w:rPr>
        <w:t>参赛团队可在比赛进行期间，提前两周时间向中粮营养健康研究院递交参观交流申请，经审批同意后，可赴中粮营养健康研究院进行参观交流。</w:t>
      </w:r>
    </w:p>
    <w:p>
      <w:pPr>
        <w:pStyle w:val="3"/>
        <w:pageBreakBefore w:val="0"/>
        <w:kinsoku/>
        <w:wordWrap/>
        <w:overflowPunct/>
        <w:topLinePunct w:val="0"/>
        <w:autoSpaceDE/>
        <w:autoSpaceDN/>
        <w:bidi w:val="0"/>
        <w:adjustRightInd/>
        <w:snapToGrid/>
        <w:ind w:left="0" w:firstLine="640" w:firstLineChars="200"/>
        <w:jc w:val="both"/>
        <w:textAlignment w:val="auto"/>
        <w:rPr>
          <w:rFonts w:eastAsia="方正黑体_GBK"/>
          <w:szCs w:val="32"/>
        </w:rPr>
      </w:pPr>
      <w:r>
        <w:rPr>
          <w:rFonts w:hint="eastAsia" w:eastAsia="方正黑体_GBK"/>
          <w:szCs w:val="32"/>
          <w:lang w:val="en-US" w:eastAsia="zh-CN"/>
        </w:rPr>
        <w:t>十</w:t>
      </w:r>
      <w:r>
        <w:rPr>
          <w:rFonts w:hint="eastAsia" w:eastAsia="方正黑体_GBK"/>
          <w:szCs w:val="32"/>
        </w:rPr>
        <w:t>、企业比赛专班联系方式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如针对比赛流程或题目有任何问题，请于工作日（每周一至周五上午9时至下午17时）与比赛专班取得联系。</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1.</w:t>
      </w:r>
      <w:r>
        <w:rPr>
          <w:rFonts w:eastAsia="方正仿宋_GBK"/>
          <w:sz w:val="32"/>
          <w:szCs w:val="32"/>
        </w:rPr>
        <w:t xml:space="preserve"> </w:t>
      </w:r>
      <w:r>
        <w:rPr>
          <w:rFonts w:hint="eastAsia" w:eastAsia="方正仿宋_GBK"/>
          <w:sz w:val="32"/>
          <w:szCs w:val="32"/>
        </w:rPr>
        <w:t>赛事组织服务团队</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 xml:space="preserve">人员1：卞  祺  </w:t>
      </w:r>
      <w:r>
        <w:rPr>
          <w:rFonts w:eastAsia="方正仿宋_GBK"/>
          <w:sz w:val="32"/>
          <w:szCs w:val="32"/>
        </w:rPr>
        <w:t>15811098677</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 xml:space="preserve">人员2：赵  鑫  </w:t>
      </w:r>
      <w:r>
        <w:rPr>
          <w:rFonts w:eastAsia="方正仿宋_GBK"/>
          <w:sz w:val="32"/>
          <w:szCs w:val="32"/>
        </w:rPr>
        <w:t>13910998612</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_GBK"/>
          <w:sz w:val="32"/>
          <w:szCs w:val="32"/>
        </w:rPr>
      </w:pPr>
      <w:r>
        <w:rPr>
          <w:rFonts w:hint="eastAsia" w:eastAsia="方正楷体_GBK"/>
          <w:sz w:val="32"/>
          <w:szCs w:val="32"/>
        </w:rPr>
        <w:t>2.</w:t>
      </w:r>
      <w:r>
        <w:rPr>
          <w:rFonts w:eastAsia="方正楷体_GBK"/>
          <w:sz w:val="32"/>
          <w:szCs w:val="32"/>
        </w:rPr>
        <w:t xml:space="preserve"> </w:t>
      </w:r>
      <w:r>
        <w:rPr>
          <w:rFonts w:hint="eastAsia" w:eastAsia="方正楷体_GBK"/>
          <w:sz w:val="32"/>
          <w:szCs w:val="32"/>
        </w:rPr>
        <w:t>专家指导团队</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 xml:space="preserve">人员1：李 </w:t>
      </w:r>
      <w:r>
        <w:rPr>
          <w:rFonts w:eastAsia="方正仿宋_GBK"/>
          <w:sz w:val="32"/>
          <w:szCs w:val="32"/>
        </w:rPr>
        <w:t xml:space="preserve"> </w:t>
      </w:r>
      <w:r>
        <w:rPr>
          <w:rFonts w:hint="eastAsia" w:eastAsia="方正仿宋_GBK"/>
          <w:sz w:val="32"/>
          <w:szCs w:val="32"/>
        </w:rPr>
        <w:t xml:space="preserve">凡 </w:t>
      </w:r>
      <w:r>
        <w:rPr>
          <w:rFonts w:eastAsia="方正仿宋_GBK"/>
          <w:sz w:val="32"/>
          <w:szCs w:val="32"/>
        </w:rPr>
        <w:t xml:space="preserve"> 13811025627</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 xml:space="preserve">人员2：王小艳 </w:t>
      </w:r>
      <w:r>
        <w:rPr>
          <w:rFonts w:eastAsia="方正仿宋_GBK"/>
          <w:sz w:val="32"/>
          <w:szCs w:val="32"/>
        </w:rPr>
        <w:t xml:space="preserve"> 18600408567</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r>
        <w:rPr>
          <w:rFonts w:hint="eastAsia" w:eastAsia="方正仿宋_GBK"/>
          <w:sz w:val="32"/>
          <w:szCs w:val="32"/>
        </w:rPr>
        <w:t xml:space="preserve">人员3：张 </w:t>
      </w:r>
      <w:r>
        <w:rPr>
          <w:rFonts w:eastAsia="方正仿宋_GBK"/>
          <w:sz w:val="32"/>
          <w:szCs w:val="32"/>
        </w:rPr>
        <w:t xml:space="preserve"> </w:t>
      </w:r>
      <w:r>
        <w:rPr>
          <w:rFonts w:hint="eastAsia" w:eastAsia="方正仿宋_GBK"/>
          <w:sz w:val="32"/>
          <w:szCs w:val="32"/>
        </w:rPr>
        <w:t xml:space="preserve">媛 </w:t>
      </w:r>
      <w:r>
        <w:rPr>
          <w:rFonts w:eastAsia="方正仿宋_GBK"/>
          <w:sz w:val="32"/>
          <w:szCs w:val="32"/>
        </w:rPr>
        <w:t xml:space="preserve"> 15652969694</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sz w:val="32"/>
          <w:szCs w:val="32"/>
        </w:rPr>
      </w:pP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_GBK"/>
          <w:sz w:val="32"/>
          <w:szCs w:val="32"/>
        </w:rPr>
      </w:pPr>
      <w:r>
        <w:rPr>
          <w:rFonts w:hint="eastAsia" w:eastAsia="方正楷体_GBK"/>
          <w:sz w:val="32"/>
          <w:szCs w:val="32"/>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_GBK"/>
          <w:sz w:val="32"/>
          <w:szCs w:val="32"/>
        </w:rPr>
      </w:pPr>
    </w:p>
    <w:p>
      <w:pPr>
        <w:spacing w:line="560" w:lineRule="exact"/>
        <w:ind w:firstLine="640" w:firstLineChars="200"/>
        <w:jc w:val="right"/>
        <w:rPr>
          <w:rFonts w:hint="eastAsia" w:ascii="方正仿宋_GBK" w:hAnsi="方正仿宋_GBK" w:eastAsia="方正仿宋_GBK" w:cs="方正仿宋_GBK"/>
          <w:sz w:val="28"/>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6"/>
          <w:szCs w:val="32"/>
        </w:rPr>
        <w:t xml:space="preserve"> </w:t>
      </w:r>
      <w:r>
        <w:rPr>
          <w:rFonts w:hint="eastAsia" w:ascii="方正仿宋_GBK" w:hAnsi="方正仿宋_GBK" w:eastAsia="方正仿宋_GBK" w:cs="方正仿宋_GBK"/>
          <w:sz w:val="32"/>
          <w:szCs w:val="32"/>
        </w:rPr>
        <w:t>中粮营养健康研究院有限公司</w:t>
      </w:r>
    </w:p>
    <w:p>
      <w:pPr>
        <w:spacing w:line="560" w:lineRule="exact"/>
        <w:ind w:firstLine="560" w:firstLineChars="200"/>
        <w:jc w:val="left"/>
        <w:rPr>
          <w:rFonts w:eastAsia="方正楷体_GBK"/>
          <w:sz w:val="28"/>
          <w:szCs w:val="32"/>
        </w:rPr>
      </w:pPr>
    </w:p>
    <w:p>
      <w:pPr>
        <w:pStyle w:val="3"/>
        <w:jc w:val="both"/>
        <w:rPr>
          <w:rFonts w:eastAsia="方正楷体_GBK"/>
          <w:sz w:val="24"/>
          <w:szCs w:val="32"/>
        </w:rPr>
      </w:pPr>
      <w:r>
        <w:rPr>
          <w:rFonts w:eastAsia="方正楷体_GBK"/>
          <w:sz w:val="28"/>
          <w:szCs w:val="32"/>
        </w:rPr>
        <w:br w:type="page"/>
      </w:r>
      <w:r>
        <w:rPr>
          <w:rFonts w:hint="eastAsia" w:ascii="Times New Roman" w:hAnsi="Times New Roman" w:eastAsia="方正黑体_GBK"/>
          <w:color w:val="000000" w:themeColor="text1"/>
          <w:lang w:val="en-US"/>
          <w14:textFill>
            <w14:solidFill>
              <w14:schemeClr w14:val="tx1"/>
            </w14:solidFill>
          </w14:textFill>
        </w:rPr>
        <w:t>附：选题申报单位简介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rPr>
        <w:t>中粮集团成立于1949年，是中国最大的农产品加工企业。中粮营养健康研究院（下称研究院）隶属于中粮集团，是国内首家以企业为主体的、针对中国人的营养需求和代谢机制进行系统性研究以实现国人健康诉求的研发中心。中粮营养健康研究院下设十个研发中心，生物技术中心、谷物研发中心、油脂研发中心、糖业技术中心、酒业技术中心、动物营养中心、营养与代谢中心、消费者与市场研究中心、食品质量与安全中心、知识管理中心，能够支撑未来食品在微生物筛选、基因工程开发、生物发酵、产品分离制备、食品制品开发、产品营养功能评估、消费者感官评估、产品质量安全控制等各方面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rPr>
        <w:t>除了专业的研发中心，还拥有非粮生物质能技术全国重点实验室、营养健康与食品安全北京市重点实验室、北京市畜产品质量安全源头控制工程技术研究中心、国家能源局生物液体燃料研发（实验）中心、博士后科研工作站、院士专家工作站、国家粮食局粮油质检中心、国家副食品质量监督检验中心、天然产物国家标准样品定值实验室；牵头成立营养健康食品产业技术创新战略联盟；获得国家级高新技术企业认证；获得“首都文明单位”、国家外国专家局“国家引进国外智力示范单位”、国家粮食局“全国科技兴粮示范单位”、国家知识产权局专利局“专利审查员实践活动基地”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rPr>
        <w:t>中粮营养健康研究院拥有一支学历层次高、年轻有活力、文化多元的创新团队，截止目前总人数222人，平均年龄36岁。博士60人，硕士119人，博士占总人数的27%，硕士及以上占总人数的81%。</w:t>
      </w:r>
    </w:p>
    <w:p>
      <w:pPr>
        <w:spacing w:line="0" w:lineRule="atLeast"/>
        <w:rPr>
          <w:rFonts w:eastAsia="方正仿宋_GBK"/>
          <w:sz w:val="28"/>
          <w:szCs w:val="32"/>
        </w:rPr>
      </w:pPr>
      <w:r>
        <w:rPr>
          <w:rFonts w:eastAsia="方正仿宋_GBK"/>
          <w:sz w:val="28"/>
          <w:szCs w:val="32"/>
        </w:rPr>
        <w:br w:type="page"/>
      </w:r>
    </w:p>
    <w:p>
      <w:pPr>
        <w:pStyle w:val="3"/>
        <w:jc w:val="both"/>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附表1</w:t>
      </w:r>
      <w:r>
        <w:rPr>
          <w:rFonts w:ascii="Times New Roman" w:hAnsi="Times New Roman" w:eastAsia="方正黑体_GBK"/>
          <w:color w:val="000000" w:themeColor="text1"/>
          <w:lang w:val="en-US"/>
          <w14:textFill>
            <w14:solidFill>
              <w14:schemeClr w14:val="tx1"/>
            </w14:solidFill>
          </w14:textFill>
        </w:rPr>
        <w:t xml:space="preserve">  </w:t>
      </w:r>
      <w:r>
        <w:rPr>
          <w:rFonts w:hint="eastAsia" w:ascii="Times New Roman" w:hAnsi="Times New Roman" w:eastAsia="方正黑体_GBK"/>
          <w:color w:val="000000" w:themeColor="text1"/>
          <w:lang w:val="en-US"/>
          <w14:textFill>
            <w14:solidFill>
              <w14:schemeClr w14:val="tx1"/>
            </w14:solidFill>
          </w14:textFill>
        </w:rPr>
        <w:t>《项目研究报告》评分细则</w:t>
      </w:r>
    </w:p>
    <w:p>
      <w:pPr>
        <w:spacing w:line="0" w:lineRule="atLeast"/>
        <w:rPr>
          <w:rFonts w:eastAsia="方正仿宋_GBK"/>
          <w:sz w:val="28"/>
          <w:szCs w:val="32"/>
        </w:rPr>
      </w:pPr>
    </w:p>
    <w:tbl>
      <w:tblPr>
        <w:tblStyle w:val="8"/>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379"/>
        <w:gridCol w:w="1191"/>
        <w:gridCol w:w="967"/>
        <w:gridCol w:w="1079"/>
        <w:gridCol w:w="1078"/>
        <w:gridCol w:w="1076"/>
        <w:gridCol w:w="811"/>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restart"/>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序号</w:t>
            </w:r>
          </w:p>
        </w:tc>
        <w:tc>
          <w:tcPr>
            <w:tcW w:w="1395" w:type="dxa"/>
            <w:vMerge w:val="restart"/>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1905</wp:posOffset>
                      </wp:positionV>
                      <wp:extent cx="908050" cy="349250"/>
                      <wp:effectExtent l="0" t="0" r="6350" b="12700"/>
                      <wp:wrapNone/>
                      <wp:docPr id="2" name="直接连接符 2"/>
                      <wp:cNvGraphicFramePr/>
                      <a:graphic xmlns:a="http://schemas.openxmlformats.org/drawingml/2006/main">
                        <a:graphicData uri="http://schemas.microsoft.com/office/word/2010/wordprocessingShape">
                          <wps:wsp>
                            <wps:cNvCnPr/>
                            <wps:spPr>
                              <a:xfrm>
                                <a:off x="0" y="0"/>
                                <a:ext cx="908050" cy="34925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85pt;margin-top:0.15pt;height:27.5pt;width:71.5pt;z-index:251659264;mso-width-relative:page;mso-height-relative:page;" filled="f" stroked="t" coordsize="21600,21600" o:gfxdata="UEsDBAoAAAAAAIdO4kAAAAAAAAAAAAAAAAAEAAAAZHJzL1BLAwQUAAAACACHTuJAZmWZ+tQAAAAH&#10;AQAADwAAAGRycy9kb3ducmV2LnhtbE2OwU7DMBBE70j8g7VIXKrWcaNCCdlUFRJ3GirObryJI+J1&#10;FLtt+HvcE9xmNKOZV+5mN4gLTaH3jKBWGQjixpueO4Tj5/tyCyJEzUYPngnhhwLsqvu7UhfGX/lA&#10;lzp2Io1wKDSCjXEspAyNJafDyo/EKWv95HRMduqkmfQ1jbtBrrPsSTrdc3qweqQ3S813fXYIL/P6&#10;6D/advFl93VP+4Xd1s0B8fFBZa8gIs3xrww3/IQOVWI6+TObIAaEpVLPqYqQg7jFuUrihLDZ5CCr&#10;Uv7nr34BUEsDBBQAAAAIAIdO4kDtSTw+9wEAANcDAAAOAAAAZHJzL2Uyb0RvYy54bWytU82O0zAQ&#10;viPxDpbvNGlgoRs13cNWywVBJZYHmHWcxpL/5PE27UvwAkjc4MSRO2+zy2MwdkIpy2UP5ODMeGY+&#10;z/d5vLzYG812MqBytuHzWcmZtMK1ym4b/uH66tmCM4xgW9DOyoYfJPKL1dMny8HXsnK9060MjEAs&#10;1oNveB+jr4sCRS8N4Mx5aSnYuWAgkhu2RRtgIHSji6osXxaDC60PTkhE2l2PQT4hhscAuq5TQq6d&#10;uDXSxhE1SA2RKGGvPPJV7rbrpIjvug5lZLrhxDTmlQ4h+yatxWoJ9TaA75WYWoDHtPCAkwFl6dAj&#10;1BoisNug/oEySgSHrosz4UwxEsmKEIt5+UCb9z14mbmQ1OiPouP/gxVvd5vAVNvwijMLhi78/tP3&#10;u49ffv74TOv9t6+sSiINHmvKvbSbMHnoNyEx3nfBpD9xYfss7OEorNxHJmjzvFyUZyS5oNDzF+cV&#10;2YRS/Cn2AeNr6QxLRsO1sok31LB7g3FM/Z2Stq27UlrTPtTasoFA56/OCB5oHjuaAzKNJ05ot5yB&#10;3tKgixgyIjqt2lSdivGAlzqwHdB00Ii2brimljnTgJECxCN/U7N/laZ21oD9WJxDKQ1qoyK9D61M&#10;wxen1dqmqMwzOZFKoo4yJuvGtYesbpE8uu+s0DSbaaBOfbJP3+P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lmfrUAAAABwEAAA8AAAAAAAAAAQAgAAAAIgAAAGRycy9kb3ducmV2LnhtbFBLAQIU&#10;ABQAAAAIAIdO4kDtSTw+9wEAANcDAAAOAAAAAAAAAAEAIAAAACMBAABkcnMvZTJvRG9jLnhtbFBL&#10;BQYAAAAABgAGAFkBAACMBQAAAAA=&#10;">
                      <v:fill on="f" focussize="0,0"/>
                      <v:stroke weight="0.25pt" color="#000000" miterlimit="8" joinstyle="miter"/>
                      <v:imagedata o:title=""/>
                      <o:lock v:ext="edit" aspectratio="f"/>
                    </v:line>
                  </w:pict>
                </mc:Fallback>
              </mc:AlternateContent>
            </w:r>
            <w:r>
              <w:rPr>
                <w:rFonts w:hint="default" w:ascii="Times New Roman" w:hAnsi="Times New Roman" w:eastAsia="方正仿宋_GBK" w:cs="Times New Roman"/>
                <w:bCs/>
                <w:szCs w:val="21"/>
              </w:rPr>
              <w:t xml:space="preserve">       等级</w:t>
            </w:r>
          </w:p>
          <w:p>
            <w:pPr>
              <w:spacing w:line="0" w:lineRule="atLeas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分数</w:t>
            </w:r>
          </w:p>
        </w:tc>
        <w:tc>
          <w:tcPr>
            <w:tcW w:w="1198"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Ⅰ</w:t>
            </w:r>
          </w:p>
        </w:tc>
        <w:tc>
          <w:tcPr>
            <w:tcW w:w="972"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Ⅱ</w:t>
            </w:r>
          </w:p>
        </w:tc>
        <w:tc>
          <w:tcPr>
            <w:tcW w:w="1086"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Ⅲ</w:t>
            </w:r>
          </w:p>
        </w:tc>
        <w:tc>
          <w:tcPr>
            <w:tcW w:w="1085"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Ⅳ</w:t>
            </w:r>
          </w:p>
        </w:tc>
        <w:tc>
          <w:tcPr>
            <w:tcW w:w="1086"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Ⅴ</w:t>
            </w:r>
          </w:p>
        </w:tc>
        <w:tc>
          <w:tcPr>
            <w:tcW w:w="749" w:type="dxa"/>
            <w:vMerge w:val="restart"/>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权重（%）</w:t>
            </w:r>
          </w:p>
        </w:tc>
        <w:tc>
          <w:tcPr>
            <w:tcW w:w="723" w:type="dxa"/>
            <w:vMerge w:val="restart"/>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63" w:type="dxa"/>
            <w:vMerge w:val="continue"/>
            <w:vAlign w:val="center"/>
          </w:tcPr>
          <w:p>
            <w:pPr>
              <w:spacing w:line="0" w:lineRule="atLeast"/>
              <w:jc w:val="center"/>
              <w:rPr>
                <w:rFonts w:hint="default" w:ascii="Times New Roman" w:hAnsi="Times New Roman" w:eastAsia="方正仿宋_GBK" w:cs="Times New Roman"/>
                <w:bCs/>
                <w:szCs w:val="21"/>
              </w:rPr>
            </w:pPr>
          </w:p>
        </w:tc>
        <w:tc>
          <w:tcPr>
            <w:tcW w:w="1395" w:type="dxa"/>
            <w:vMerge w:val="continue"/>
            <w:vAlign w:val="center"/>
          </w:tcPr>
          <w:p>
            <w:pPr>
              <w:spacing w:line="0" w:lineRule="atLeast"/>
              <w:jc w:val="center"/>
              <w:rPr>
                <w:rFonts w:hint="default" w:ascii="Times New Roman" w:hAnsi="Times New Roman" w:eastAsia="方正仿宋_GBK" w:cs="Times New Roman"/>
                <w:bCs/>
                <w:szCs w:val="21"/>
              </w:rPr>
            </w:pPr>
          </w:p>
        </w:tc>
        <w:tc>
          <w:tcPr>
            <w:tcW w:w="1198"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90-100</w:t>
            </w:r>
          </w:p>
        </w:tc>
        <w:tc>
          <w:tcPr>
            <w:tcW w:w="972"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80-89</w:t>
            </w:r>
          </w:p>
        </w:tc>
        <w:tc>
          <w:tcPr>
            <w:tcW w:w="1086"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70-79</w:t>
            </w:r>
          </w:p>
        </w:tc>
        <w:tc>
          <w:tcPr>
            <w:tcW w:w="1085"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60-69</w:t>
            </w:r>
          </w:p>
        </w:tc>
        <w:tc>
          <w:tcPr>
            <w:tcW w:w="1086"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60以下</w:t>
            </w:r>
          </w:p>
        </w:tc>
        <w:tc>
          <w:tcPr>
            <w:tcW w:w="749" w:type="dxa"/>
            <w:vMerge w:val="continue"/>
            <w:vAlign w:val="center"/>
          </w:tcPr>
          <w:p>
            <w:pPr>
              <w:spacing w:line="0" w:lineRule="atLeast"/>
              <w:jc w:val="center"/>
              <w:rPr>
                <w:rFonts w:hint="default" w:ascii="Times New Roman" w:hAnsi="Times New Roman" w:eastAsia="方正仿宋_GBK" w:cs="Times New Roman"/>
                <w:bCs/>
                <w:szCs w:val="21"/>
              </w:rPr>
            </w:pPr>
          </w:p>
        </w:tc>
        <w:tc>
          <w:tcPr>
            <w:tcW w:w="723" w:type="dxa"/>
            <w:vMerge w:val="continue"/>
            <w:vAlign w:val="center"/>
          </w:tcPr>
          <w:p>
            <w:pPr>
              <w:spacing w:line="0" w:lineRule="atLeast"/>
              <w:jc w:val="center"/>
              <w:rPr>
                <w:rFonts w:hint="default" w:ascii="Times New Roman" w:hAnsi="Times New Roman" w:eastAsia="方正仿宋_GBK"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1</w:t>
            </w:r>
          </w:p>
        </w:tc>
        <w:tc>
          <w:tcPr>
            <w:tcW w:w="139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课题契合度</w:t>
            </w:r>
          </w:p>
        </w:tc>
        <w:tc>
          <w:tcPr>
            <w:tcW w:w="1198"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与项目课题及企业实际紧密结合</w:t>
            </w:r>
          </w:p>
        </w:tc>
        <w:tc>
          <w:tcPr>
            <w:tcW w:w="972"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与项目课题要求基本契合，同时与企业实际紧密结合</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与项目课题及企业实际基本契合</w:t>
            </w:r>
          </w:p>
        </w:tc>
        <w:tc>
          <w:tcPr>
            <w:tcW w:w="108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与项目课题基本契合</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与项目课题无关</w:t>
            </w:r>
          </w:p>
        </w:tc>
        <w:tc>
          <w:tcPr>
            <w:tcW w:w="749"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15</w:t>
            </w:r>
          </w:p>
        </w:tc>
        <w:tc>
          <w:tcPr>
            <w:tcW w:w="723" w:type="dxa"/>
            <w:vAlign w:val="center"/>
          </w:tcPr>
          <w:p>
            <w:pPr>
              <w:spacing w:line="0" w:lineRule="atLeast"/>
              <w:jc w:val="center"/>
              <w:rPr>
                <w:rFonts w:hint="default" w:ascii="Times New Roman" w:hAnsi="Times New Roman" w:eastAsia="方正仿宋_GBK" w:cs="Times New Roman"/>
                <w:bCs/>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2</w:t>
            </w:r>
          </w:p>
        </w:tc>
        <w:tc>
          <w:tcPr>
            <w:tcW w:w="139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技术报告完整性</w:t>
            </w:r>
          </w:p>
        </w:tc>
        <w:tc>
          <w:tcPr>
            <w:tcW w:w="1198"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技术报告结构完整、内容详实、包括充分的背景调研、清晰的方案设计、充分的数据/资料支撑等。</w:t>
            </w:r>
          </w:p>
        </w:tc>
        <w:tc>
          <w:tcPr>
            <w:tcW w:w="972"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技术报告内容比较完整，内容详实，逻辑结构严谨、语言通顺。</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技术报告缺少部分内容，但不影响整体的方案呈现。</w:t>
            </w:r>
          </w:p>
        </w:tc>
        <w:tc>
          <w:tcPr>
            <w:tcW w:w="108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技术报告缺少重要内容，对于技术创新性或结论没有足够支撑。</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技术报告数据不真实、前后矛盾或有原则性的逻辑错误。</w:t>
            </w:r>
          </w:p>
        </w:tc>
        <w:tc>
          <w:tcPr>
            <w:tcW w:w="749"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15</w:t>
            </w:r>
          </w:p>
        </w:tc>
        <w:tc>
          <w:tcPr>
            <w:tcW w:w="723" w:type="dxa"/>
            <w:vAlign w:val="center"/>
          </w:tcPr>
          <w:p>
            <w:pPr>
              <w:spacing w:line="0" w:lineRule="atLeast"/>
              <w:jc w:val="center"/>
              <w:rPr>
                <w:rFonts w:hint="default" w:ascii="Times New Roman" w:hAnsi="Times New Roman" w:eastAsia="方正仿宋_GBK" w:cs="Times New Roman"/>
                <w:bCs/>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3</w:t>
            </w:r>
          </w:p>
        </w:tc>
        <w:tc>
          <w:tcPr>
            <w:tcW w:w="139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技术成果创新性</w:t>
            </w:r>
          </w:p>
        </w:tc>
        <w:tc>
          <w:tcPr>
            <w:tcW w:w="1198"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理论上有创新或将现有理论创造性地应用，能够解决实际问题。</w:t>
            </w:r>
          </w:p>
        </w:tc>
        <w:tc>
          <w:tcPr>
            <w:tcW w:w="972"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某些方面有创新或对前人工作、已有技术做出明显改进</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思想新颖，有独立见解，但不具有创新性或应用方案不成熟</w:t>
            </w:r>
          </w:p>
        </w:tc>
        <w:tc>
          <w:tcPr>
            <w:tcW w:w="108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创新性较弱，或用已有成果按常规办法解决具体问题</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主要技术</w:t>
            </w:r>
          </w:p>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与论据，资料有原则错误</w:t>
            </w:r>
          </w:p>
        </w:tc>
        <w:tc>
          <w:tcPr>
            <w:tcW w:w="749"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25</w:t>
            </w:r>
          </w:p>
        </w:tc>
        <w:tc>
          <w:tcPr>
            <w:tcW w:w="723" w:type="dxa"/>
            <w:vAlign w:val="center"/>
          </w:tcPr>
          <w:p>
            <w:pPr>
              <w:spacing w:line="0" w:lineRule="atLeast"/>
              <w:jc w:val="center"/>
              <w:rPr>
                <w:rFonts w:hint="default" w:ascii="Times New Roman" w:hAnsi="Times New Roman" w:eastAsia="方正仿宋_GBK" w:cs="Times New Roman"/>
                <w:bCs/>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4</w:t>
            </w:r>
          </w:p>
        </w:tc>
        <w:tc>
          <w:tcPr>
            <w:tcW w:w="139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对科技进步的作用，对学科理论及技术储备等方面的贡献</w:t>
            </w:r>
          </w:p>
        </w:tc>
        <w:tc>
          <w:tcPr>
            <w:tcW w:w="1198"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很显著</w:t>
            </w:r>
          </w:p>
        </w:tc>
        <w:tc>
          <w:tcPr>
            <w:tcW w:w="972"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显著</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较显著</w:t>
            </w:r>
          </w:p>
        </w:tc>
        <w:tc>
          <w:tcPr>
            <w:tcW w:w="108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一般</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不明显</w:t>
            </w:r>
          </w:p>
        </w:tc>
        <w:tc>
          <w:tcPr>
            <w:tcW w:w="749"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25</w:t>
            </w:r>
          </w:p>
        </w:tc>
        <w:tc>
          <w:tcPr>
            <w:tcW w:w="723" w:type="dxa"/>
            <w:vAlign w:val="center"/>
          </w:tcPr>
          <w:p>
            <w:pPr>
              <w:spacing w:line="0" w:lineRule="atLeast"/>
              <w:jc w:val="center"/>
              <w:rPr>
                <w:rFonts w:hint="default" w:ascii="Times New Roman" w:hAnsi="Times New Roman" w:eastAsia="方正仿宋_GBK" w:cs="Times New Roman"/>
                <w:bCs/>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spacing w:line="0" w:lineRule="atLeas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5</w:t>
            </w:r>
          </w:p>
        </w:tc>
        <w:tc>
          <w:tcPr>
            <w:tcW w:w="139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对企业的实际应用方面的价值，以及经济效益、社会效益</w:t>
            </w:r>
          </w:p>
        </w:tc>
        <w:tc>
          <w:tcPr>
            <w:tcW w:w="1198"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很强</w:t>
            </w:r>
          </w:p>
        </w:tc>
        <w:tc>
          <w:tcPr>
            <w:tcW w:w="972"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强</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较强</w:t>
            </w:r>
          </w:p>
        </w:tc>
        <w:tc>
          <w:tcPr>
            <w:tcW w:w="1085"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一般</w:t>
            </w:r>
          </w:p>
        </w:tc>
        <w:tc>
          <w:tcPr>
            <w:tcW w:w="1086"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不可实施</w:t>
            </w:r>
          </w:p>
        </w:tc>
        <w:tc>
          <w:tcPr>
            <w:tcW w:w="749" w:type="dxa"/>
            <w:vAlign w:val="center"/>
          </w:tcPr>
          <w:p>
            <w:pPr>
              <w:spacing w:line="0" w:lineRule="atLeast"/>
              <w:jc w:val="center"/>
              <w:rPr>
                <w:rFonts w:hint="default" w:ascii="Times New Roman" w:hAnsi="Times New Roman" w:eastAsia="方正仿宋_GBK" w:cs="Times New Roman"/>
                <w:bCs/>
                <w:sz w:val="18"/>
                <w:szCs w:val="21"/>
              </w:rPr>
            </w:pPr>
            <w:r>
              <w:rPr>
                <w:rFonts w:hint="default" w:ascii="Times New Roman" w:hAnsi="Times New Roman" w:eastAsia="方正仿宋_GBK" w:cs="Times New Roman"/>
                <w:bCs/>
                <w:sz w:val="18"/>
                <w:szCs w:val="21"/>
              </w:rPr>
              <w:t>20</w:t>
            </w:r>
          </w:p>
        </w:tc>
        <w:tc>
          <w:tcPr>
            <w:tcW w:w="723" w:type="dxa"/>
            <w:vAlign w:val="center"/>
          </w:tcPr>
          <w:p>
            <w:pPr>
              <w:spacing w:line="0" w:lineRule="atLeast"/>
              <w:jc w:val="center"/>
              <w:rPr>
                <w:rFonts w:hint="default" w:ascii="Times New Roman" w:hAnsi="Times New Roman" w:eastAsia="方正仿宋_GBK" w:cs="Times New Roman"/>
                <w:bCs/>
                <w:sz w:val="18"/>
                <w:szCs w:val="21"/>
              </w:rPr>
            </w:pPr>
          </w:p>
        </w:tc>
      </w:tr>
    </w:tbl>
    <w:p>
      <w:pPr>
        <w:spacing w:line="0" w:lineRule="atLeast"/>
        <w:ind w:firstLine="602" w:firstLineChars="200"/>
        <w:rPr>
          <w:rFonts w:ascii="方正楷体简体" w:hAnsi="方正楷体简体" w:eastAsia="方正楷体简体" w:cs="方正楷体简体"/>
          <w:b/>
          <w:bCs/>
          <w:sz w:val="30"/>
          <w:szCs w:val="30"/>
        </w:rPr>
      </w:pPr>
    </w:p>
    <w:p>
      <w:pPr>
        <w:spacing w:line="560" w:lineRule="exact"/>
        <w:rPr>
          <w:rFonts w:eastAsia="方正仿宋_GBK"/>
          <w:sz w:val="28"/>
          <w:szCs w:val="32"/>
        </w:rPr>
      </w:pPr>
    </w:p>
    <w:sectPr>
      <w:footerReference r:id="rId3" w:type="default"/>
      <w:pgSz w:w="11907" w:h="16840"/>
      <w:pgMar w:top="1984" w:right="1587" w:bottom="1984" w:left="1587"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- 1 -</w:t>
    </w:r>
    <w:r>
      <w:rPr>
        <w:rStyle w:val="11"/>
      </w:rPr>
      <w:fldChar w:fldCharType="end"/>
    </w:r>
  </w:p>
  <w:p>
    <w:pPr>
      <w:pStyle w:val="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B9F7"/>
    <w:multiLevelType w:val="singleLevel"/>
    <w:tmpl w:val="120BB9F7"/>
    <w:lvl w:ilvl="0" w:tentative="0">
      <w:start w:val="3"/>
      <w:numFmt w:val="decimal"/>
      <w:suff w:val="space"/>
      <w:lvlText w:val="%1."/>
      <w:lvlJc w:val="left"/>
    </w:lvl>
  </w:abstractNum>
  <w:abstractNum w:abstractNumId="1">
    <w:nsid w:val="52994999"/>
    <w:multiLevelType w:val="singleLevel"/>
    <w:tmpl w:val="52994999"/>
    <w:lvl w:ilvl="0" w:tentative="0">
      <w:start w:val="1"/>
      <w:numFmt w:val="decimal"/>
      <w:suff w:val="space"/>
      <w:lvlText w:val="%1."/>
      <w:lvlJc w:val="left"/>
      <w:pPr>
        <w:ind w:left="454" w:hanging="454"/>
      </w:pPr>
      <w:rPr>
        <w:rFonts w:hint="default" w:eastAsia="方正仿宋楷体"/>
        <w:sz w:val="32"/>
        <w:szCs w:val="32"/>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DC5E1B"/>
    <w:rsid w:val="00006B43"/>
    <w:rsid w:val="0002221A"/>
    <w:rsid w:val="00023C25"/>
    <w:rsid w:val="00026488"/>
    <w:rsid w:val="00036588"/>
    <w:rsid w:val="000457BF"/>
    <w:rsid w:val="00054219"/>
    <w:rsid w:val="00060C0B"/>
    <w:rsid w:val="00064736"/>
    <w:rsid w:val="00067454"/>
    <w:rsid w:val="00081340"/>
    <w:rsid w:val="00081D25"/>
    <w:rsid w:val="00087FB4"/>
    <w:rsid w:val="000A1E4B"/>
    <w:rsid w:val="000A22AA"/>
    <w:rsid w:val="000B04C8"/>
    <w:rsid w:val="000C5B70"/>
    <w:rsid w:val="000C748E"/>
    <w:rsid w:val="000D2296"/>
    <w:rsid w:val="000D4703"/>
    <w:rsid w:val="000D539F"/>
    <w:rsid w:val="000D60C9"/>
    <w:rsid w:val="000E197A"/>
    <w:rsid w:val="000E2A2E"/>
    <w:rsid w:val="000F39F2"/>
    <w:rsid w:val="00114731"/>
    <w:rsid w:val="00117E9D"/>
    <w:rsid w:val="0012461F"/>
    <w:rsid w:val="0013598F"/>
    <w:rsid w:val="00137BEC"/>
    <w:rsid w:val="00146542"/>
    <w:rsid w:val="0015569C"/>
    <w:rsid w:val="00165A41"/>
    <w:rsid w:val="001725EA"/>
    <w:rsid w:val="00175621"/>
    <w:rsid w:val="00180D89"/>
    <w:rsid w:val="001865B9"/>
    <w:rsid w:val="00194CDA"/>
    <w:rsid w:val="001A441D"/>
    <w:rsid w:val="001A7831"/>
    <w:rsid w:val="001B6FD2"/>
    <w:rsid w:val="001D30FD"/>
    <w:rsid w:val="001D3CA4"/>
    <w:rsid w:val="001D66F1"/>
    <w:rsid w:val="001E6C11"/>
    <w:rsid w:val="001F514D"/>
    <w:rsid w:val="00200D28"/>
    <w:rsid w:val="002015E4"/>
    <w:rsid w:val="002047CE"/>
    <w:rsid w:val="002068BD"/>
    <w:rsid w:val="00210CAC"/>
    <w:rsid w:val="00212476"/>
    <w:rsid w:val="00213EFA"/>
    <w:rsid w:val="00215AD8"/>
    <w:rsid w:val="002305C1"/>
    <w:rsid w:val="002346C9"/>
    <w:rsid w:val="00236D28"/>
    <w:rsid w:val="00236E84"/>
    <w:rsid w:val="00251FC8"/>
    <w:rsid w:val="00262221"/>
    <w:rsid w:val="002666BE"/>
    <w:rsid w:val="0027524D"/>
    <w:rsid w:val="00281D6B"/>
    <w:rsid w:val="00283865"/>
    <w:rsid w:val="0028501E"/>
    <w:rsid w:val="00287D91"/>
    <w:rsid w:val="002922B9"/>
    <w:rsid w:val="002941F4"/>
    <w:rsid w:val="00295692"/>
    <w:rsid w:val="0029627B"/>
    <w:rsid w:val="002A09E4"/>
    <w:rsid w:val="002A230D"/>
    <w:rsid w:val="002A3560"/>
    <w:rsid w:val="002A63E5"/>
    <w:rsid w:val="002B7C1B"/>
    <w:rsid w:val="002D263C"/>
    <w:rsid w:val="002D4E4B"/>
    <w:rsid w:val="002F3464"/>
    <w:rsid w:val="002F409A"/>
    <w:rsid w:val="002F4286"/>
    <w:rsid w:val="003040AD"/>
    <w:rsid w:val="00314B7F"/>
    <w:rsid w:val="003266B8"/>
    <w:rsid w:val="00330079"/>
    <w:rsid w:val="00331E61"/>
    <w:rsid w:val="003344FD"/>
    <w:rsid w:val="00350801"/>
    <w:rsid w:val="00354974"/>
    <w:rsid w:val="00357398"/>
    <w:rsid w:val="003705EE"/>
    <w:rsid w:val="00371902"/>
    <w:rsid w:val="00372D5B"/>
    <w:rsid w:val="00373AA3"/>
    <w:rsid w:val="00375A80"/>
    <w:rsid w:val="00390C05"/>
    <w:rsid w:val="003913A6"/>
    <w:rsid w:val="00392827"/>
    <w:rsid w:val="003A63AD"/>
    <w:rsid w:val="003C5F23"/>
    <w:rsid w:val="003C7071"/>
    <w:rsid w:val="003F1DE1"/>
    <w:rsid w:val="00410D67"/>
    <w:rsid w:val="004121DB"/>
    <w:rsid w:val="00414A97"/>
    <w:rsid w:val="0042361A"/>
    <w:rsid w:val="004310B8"/>
    <w:rsid w:val="004345D3"/>
    <w:rsid w:val="00434D22"/>
    <w:rsid w:val="00435394"/>
    <w:rsid w:val="004415B1"/>
    <w:rsid w:val="0044516D"/>
    <w:rsid w:val="0044619A"/>
    <w:rsid w:val="004469B5"/>
    <w:rsid w:val="004504C3"/>
    <w:rsid w:val="00455252"/>
    <w:rsid w:val="004662A7"/>
    <w:rsid w:val="00475194"/>
    <w:rsid w:val="00482BB6"/>
    <w:rsid w:val="00484306"/>
    <w:rsid w:val="00495975"/>
    <w:rsid w:val="00497015"/>
    <w:rsid w:val="004A0CF8"/>
    <w:rsid w:val="004A12A4"/>
    <w:rsid w:val="004B7211"/>
    <w:rsid w:val="004C6447"/>
    <w:rsid w:val="004E0A94"/>
    <w:rsid w:val="004E0EA5"/>
    <w:rsid w:val="004E1AC4"/>
    <w:rsid w:val="004E4D61"/>
    <w:rsid w:val="004F4750"/>
    <w:rsid w:val="004F52C5"/>
    <w:rsid w:val="00507CF9"/>
    <w:rsid w:val="0052265F"/>
    <w:rsid w:val="005227EB"/>
    <w:rsid w:val="00530B27"/>
    <w:rsid w:val="0053539A"/>
    <w:rsid w:val="005443FA"/>
    <w:rsid w:val="00564A23"/>
    <w:rsid w:val="00583A21"/>
    <w:rsid w:val="00587C3D"/>
    <w:rsid w:val="005927E7"/>
    <w:rsid w:val="005B5959"/>
    <w:rsid w:val="005C6A68"/>
    <w:rsid w:val="005D1182"/>
    <w:rsid w:val="005E6D27"/>
    <w:rsid w:val="005F646C"/>
    <w:rsid w:val="005F6786"/>
    <w:rsid w:val="005F77B3"/>
    <w:rsid w:val="00603C1B"/>
    <w:rsid w:val="0060537A"/>
    <w:rsid w:val="00607AC9"/>
    <w:rsid w:val="00611A53"/>
    <w:rsid w:val="00613FC8"/>
    <w:rsid w:val="00617DFC"/>
    <w:rsid w:val="006469E9"/>
    <w:rsid w:val="006732CA"/>
    <w:rsid w:val="0067626B"/>
    <w:rsid w:val="006836C5"/>
    <w:rsid w:val="0068374F"/>
    <w:rsid w:val="006A096E"/>
    <w:rsid w:val="006A295B"/>
    <w:rsid w:val="006A41FF"/>
    <w:rsid w:val="006B482E"/>
    <w:rsid w:val="006B7D65"/>
    <w:rsid w:val="006B7E2B"/>
    <w:rsid w:val="006C7F43"/>
    <w:rsid w:val="006D3EDF"/>
    <w:rsid w:val="006E7210"/>
    <w:rsid w:val="006F05C6"/>
    <w:rsid w:val="006F0E35"/>
    <w:rsid w:val="006F32D5"/>
    <w:rsid w:val="006F7CB2"/>
    <w:rsid w:val="00700BC4"/>
    <w:rsid w:val="007168BF"/>
    <w:rsid w:val="00717154"/>
    <w:rsid w:val="007325FE"/>
    <w:rsid w:val="00733852"/>
    <w:rsid w:val="007345B7"/>
    <w:rsid w:val="007454B3"/>
    <w:rsid w:val="00750D34"/>
    <w:rsid w:val="0075138B"/>
    <w:rsid w:val="00753036"/>
    <w:rsid w:val="00754559"/>
    <w:rsid w:val="0077416E"/>
    <w:rsid w:val="007800DF"/>
    <w:rsid w:val="00787D0A"/>
    <w:rsid w:val="007A1D59"/>
    <w:rsid w:val="007A35C1"/>
    <w:rsid w:val="007C0648"/>
    <w:rsid w:val="007C22A9"/>
    <w:rsid w:val="007C5416"/>
    <w:rsid w:val="007C6174"/>
    <w:rsid w:val="007D5884"/>
    <w:rsid w:val="007D6208"/>
    <w:rsid w:val="007F7BCA"/>
    <w:rsid w:val="00802172"/>
    <w:rsid w:val="00802766"/>
    <w:rsid w:val="00804AB4"/>
    <w:rsid w:val="00806433"/>
    <w:rsid w:val="00810C6B"/>
    <w:rsid w:val="00813E1A"/>
    <w:rsid w:val="0082063B"/>
    <w:rsid w:val="0082228B"/>
    <w:rsid w:val="0082569F"/>
    <w:rsid w:val="00840C54"/>
    <w:rsid w:val="00850E45"/>
    <w:rsid w:val="008518A6"/>
    <w:rsid w:val="00862C01"/>
    <w:rsid w:val="00883FDF"/>
    <w:rsid w:val="0088407C"/>
    <w:rsid w:val="00892273"/>
    <w:rsid w:val="008977C6"/>
    <w:rsid w:val="008A249B"/>
    <w:rsid w:val="008A4D77"/>
    <w:rsid w:val="008B17C0"/>
    <w:rsid w:val="008C7729"/>
    <w:rsid w:val="008D6FD8"/>
    <w:rsid w:val="008E1943"/>
    <w:rsid w:val="008E34E6"/>
    <w:rsid w:val="008E5720"/>
    <w:rsid w:val="008E6770"/>
    <w:rsid w:val="008E67BF"/>
    <w:rsid w:val="00901DEF"/>
    <w:rsid w:val="00904440"/>
    <w:rsid w:val="0091677D"/>
    <w:rsid w:val="00941EF0"/>
    <w:rsid w:val="00942BBC"/>
    <w:rsid w:val="009430BB"/>
    <w:rsid w:val="00947A6D"/>
    <w:rsid w:val="0095304A"/>
    <w:rsid w:val="0095422F"/>
    <w:rsid w:val="009720B1"/>
    <w:rsid w:val="00994376"/>
    <w:rsid w:val="009947AF"/>
    <w:rsid w:val="009A2F6A"/>
    <w:rsid w:val="009C5506"/>
    <w:rsid w:val="009D4F74"/>
    <w:rsid w:val="009D7F2A"/>
    <w:rsid w:val="009E026B"/>
    <w:rsid w:val="00A05E6C"/>
    <w:rsid w:val="00A07A62"/>
    <w:rsid w:val="00A102C3"/>
    <w:rsid w:val="00A27315"/>
    <w:rsid w:val="00A3405F"/>
    <w:rsid w:val="00A34632"/>
    <w:rsid w:val="00A3560B"/>
    <w:rsid w:val="00A44E91"/>
    <w:rsid w:val="00A50ED0"/>
    <w:rsid w:val="00A53EF9"/>
    <w:rsid w:val="00A550A3"/>
    <w:rsid w:val="00A57924"/>
    <w:rsid w:val="00A91704"/>
    <w:rsid w:val="00A91E92"/>
    <w:rsid w:val="00A92D7C"/>
    <w:rsid w:val="00A93BAC"/>
    <w:rsid w:val="00AA6CF0"/>
    <w:rsid w:val="00AB7A03"/>
    <w:rsid w:val="00AC00E9"/>
    <w:rsid w:val="00AC0F03"/>
    <w:rsid w:val="00AD5349"/>
    <w:rsid w:val="00AD6420"/>
    <w:rsid w:val="00AD698B"/>
    <w:rsid w:val="00AE161B"/>
    <w:rsid w:val="00B114E2"/>
    <w:rsid w:val="00B11D46"/>
    <w:rsid w:val="00B17579"/>
    <w:rsid w:val="00B24D7A"/>
    <w:rsid w:val="00B27023"/>
    <w:rsid w:val="00B36DE6"/>
    <w:rsid w:val="00B43D87"/>
    <w:rsid w:val="00B527AC"/>
    <w:rsid w:val="00B57583"/>
    <w:rsid w:val="00B600C1"/>
    <w:rsid w:val="00B60AD0"/>
    <w:rsid w:val="00B6614A"/>
    <w:rsid w:val="00B66A43"/>
    <w:rsid w:val="00B74119"/>
    <w:rsid w:val="00B80D8E"/>
    <w:rsid w:val="00B83E9E"/>
    <w:rsid w:val="00B90135"/>
    <w:rsid w:val="00B95332"/>
    <w:rsid w:val="00B964A0"/>
    <w:rsid w:val="00B96A02"/>
    <w:rsid w:val="00BA025F"/>
    <w:rsid w:val="00BA7019"/>
    <w:rsid w:val="00BB278E"/>
    <w:rsid w:val="00BB2E42"/>
    <w:rsid w:val="00BB3888"/>
    <w:rsid w:val="00BC00A7"/>
    <w:rsid w:val="00BC07CF"/>
    <w:rsid w:val="00BC7B1C"/>
    <w:rsid w:val="00BD11DC"/>
    <w:rsid w:val="00BD3B80"/>
    <w:rsid w:val="00BD6791"/>
    <w:rsid w:val="00BF2EEE"/>
    <w:rsid w:val="00BF4744"/>
    <w:rsid w:val="00BF648C"/>
    <w:rsid w:val="00C04711"/>
    <w:rsid w:val="00C13AEF"/>
    <w:rsid w:val="00C225FD"/>
    <w:rsid w:val="00C26281"/>
    <w:rsid w:val="00C26EAD"/>
    <w:rsid w:val="00C302DB"/>
    <w:rsid w:val="00C32E27"/>
    <w:rsid w:val="00C3326D"/>
    <w:rsid w:val="00C34C1E"/>
    <w:rsid w:val="00C35AA4"/>
    <w:rsid w:val="00C42C38"/>
    <w:rsid w:val="00C5098E"/>
    <w:rsid w:val="00C51D0E"/>
    <w:rsid w:val="00C52B38"/>
    <w:rsid w:val="00C545BB"/>
    <w:rsid w:val="00C64577"/>
    <w:rsid w:val="00C675CD"/>
    <w:rsid w:val="00C82329"/>
    <w:rsid w:val="00C846DF"/>
    <w:rsid w:val="00C92CB1"/>
    <w:rsid w:val="00C95482"/>
    <w:rsid w:val="00C97714"/>
    <w:rsid w:val="00CA1ACC"/>
    <w:rsid w:val="00CA4A6B"/>
    <w:rsid w:val="00CA6000"/>
    <w:rsid w:val="00CB50DD"/>
    <w:rsid w:val="00CB6C9C"/>
    <w:rsid w:val="00CB6F8E"/>
    <w:rsid w:val="00CC195E"/>
    <w:rsid w:val="00CC4050"/>
    <w:rsid w:val="00CC6434"/>
    <w:rsid w:val="00CD052A"/>
    <w:rsid w:val="00CE51A2"/>
    <w:rsid w:val="00CE67FB"/>
    <w:rsid w:val="00CF0613"/>
    <w:rsid w:val="00D01E95"/>
    <w:rsid w:val="00D1670A"/>
    <w:rsid w:val="00D21E80"/>
    <w:rsid w:val="00D30072"/>
    <w:rsid w:val="00D30317"/>
    <w:rsid w:val="00D35FA2"/>
    <w:rsid w:val="00D460D2"/>
    <w:rsid w:val="00D567E9"/>
    <w:rsid w:val="00D61DE8"/>
    <w:rsid w:val="00D70CB9"/>
    <w:rsid w:val="00D80B12"/>
    <w:rsid w:val="00D9170C"/>
    <w:rsid w:val="00D91D9C"/>
    <w:rsid w:val="00DA51D9"/>
    <w:rsid w:val="00DB3E14"/>
    <w:rsid w:val="00DB404E"/>
    <w:rsid w:val="00DB532D"/>
    <w:rsid w:val="00DC0F70"/>
    <w:rsid w:val="00DC5E1B"/>
    <w:rsid w:val="00DF07C8"/>
    <w:rsid w:val="00DF4EB5"/>
    <w:rsid w:val="00E009E3"/>
    <w:rsid w:val="00E0671D"/>
    <w:rsid w:val="00E10632"/>
    <w:rsid w:val="00E14000"/>
    <w:rsid w:val="00E24835"/>
    <w:rsid w:val="00E2654C"/>
    <w:rsid w:val="00E32A82"/>
    <w:rsid w:val="00E41694"/>
    <w:rsid w:val="00E46404"/>
    <w:rsid w:val="00E47CE3"/>
    <w:rsid w:val="00E5188C"/>
    <w:rsid w:val="00E615B0"/>
    <w:rsid w:val="00E6196F"/>
    <w:rsid w:val="00E6238A"/>
    <w:rsid w:val="00E70325"/>
    <w:rsid w:val="00E81A14"/>
    <w:rsid w:val="00E96827"/>
    <w:rsid w:val="00E973A0"/>
    <w:rsid w:val="00EA016D"/>
    <w:rsid w:val="00EA1DE5"/>
    <w:rsid w:val="00EA6458"/>
    <w:rsid w:val="00EA66EE"/>
    <w:rsid w:val="00EB69DF"/>
    <w:rsid w:val="00EC24E9"/>
    <w:rsid w:val="00EC47E5"/>
    <w:rsid w:val="00EC48EB"/>
    <w:rsid w:val="00EC7E04"/>
    <w:rsid w:val="00ED0CAC"/>
    <w:rsid w:val="00ED486A"/>
    <w:rsid w:val="00ED6140"/>
    <w:rsid w:val="00EE29F8"/>
    <w:rsid w:val="00EE4324"/>
    <w:rsid w:val="00EE5981"/>
    <w:rsid w:val="00EE5B5D"/>
    <w:rsid w:val="00F04911"/>
    <w:rsid w:val="00F121A7"/>
    <w:rsid w:val="00F169F3"/>
    <w:rsid w:val="00F16BD3"/>
    <w:rsid w:val="00F34366"/>
    <w:rsid w:val="00F414C7"/>
    <w:rsid w:val="00F45C67"/>
    <w:rsid w:val="00F56C23"/>
    <w:rsid w:val="00F6448B"/>
    <w:rsid w:val="00F7072C"/>
    <w:rsid w:val="00F7288C"/>
    <w:rsid w:val="00F74D1F"/>
    <w:rsid w:val="00F7516E"/>
    <w:rsid w:val="00F85880"/>
    <w:rsid w:val="00F958D5"/>
    <w:rsid w:val="00F9778A"/>
    <w:rsid w:val="00FA2AE4"/>
    <w:rsid w:val="00FA521B"/>
    <w:rsid w:val="00FA5652"/>
    <w:rsid w:val="00FB365D"/>
    <w:rsid w:val="00FE1360"/>
    <w:rsid w:val="00FE1B14"/>
    <w:rsid w:val="00FE3E1A"/>
    <w:rsid w:val="00FE658C"/>
    <w:rsid w:val="00FE6EB1"/>
    <w:rsid w:val="00FF3C0A"/>
    <w:rsid w:val="00FF3DAA"/>
    <w:rsid w:val="070E749D"/>
    <w:rsid w:val="09646CAF"/>
    <w:rsid w:val="0C3D42A1"/>
    <w:rsid w:val="12C0114D"/>
    <w:rsid w:val="14342B74"/>
    <w:rsid w:val="177E3384"/>
    <w:rsid w:val="18751C9D"/>
    <w:rsid w:val="18F65F95"/>
    <w:rsid w:val="23403BE4"/>
    <w:rsid w:val="2B312790"/>
    <w:rsid w:val="31B20893"/>
    <w:rsid w:val="355E056F"/>
    <w:rsid w:val="3DED1A24"/>
    <w:rsid w:val="452C572C"/>
    <w:rsid w:val="46875502"/>
    <w:rsid w:val="56DC0F52"/>
    <w:rsid w:val="56E542AB"/>
    <w:rsid w:val="6735773E"/>
    <w:rsid w:val="679A4C3E"/>
    <w:rsid w:val="699619CE"/>
    <w:rsid w:val="7BD67971"/>
    <w:rsid w:val="7E001301"/>
    <w:rsid w:val="7F1673CA"/>
    <w:rsid w:val="9EF6B175"/>
    <w:rsid w:val="C6979F52"/>
    <w:rsid w:val="DFDB0E9A"/>
    <w:rsid w:val="EEF7A434"/>
    <w:rsid w:val="FF5BB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autoRedefine/>
    <w:qFormat/>
    <w:uiPriority w:val="9"/>
    <w:pPr>
      <w:widowControl/>
      <w:spacing w:beforeAutospacing="1" w:afterAutospacing="1"/>
      <w:jc w:val="left"/>
      <w:outlineLvl w:val="0"/>
    </w:pPr>
    <w:rPr>
      <w:rFonts w:hint="eastAsia" w:ascii="宋体" w:hAnsi="宋体"/>
      <w:b/>
      <w:bCs/>
      <w:kern w:val="36"/>
      <w:sz w:val="48"/>
      <w:szCs w:val="48"/>
    </w:rPr>
  </w:style>
  <w:style w:type="paragraph" w:styleId="3">
    <w:name w:val="heading 2"/>
    <w:basedOn w:val="1"/>
    <w:next w:val="1"/>
    <w:link w:val="18"/>
    <w:autoRedefine/>
    <w:unhideWhenUsed/>
    <w:qFormat/>
    <w:uiPriority w:val="9"/>
    <w:pPr>
      <w:keepNext/>
      <w:keepLines/>
      <w:widowControl/>
      <w:spacing w:line="560" w:lineRule="exact"/>
      <w:jc w:val="left"/>
      <w:outlineLvl w:val="1"/>
    </w:pPr>
    <w:rPr>
      <w:rFonts w:ascii="方正黑体简体" w:hAnsi="方正黑体简体" w:eastAsia="方正黑体简体"/>
      <w:kern w:val="0"/>
      <w:sz w:val="32"/>
      <w:szCs w:val="22"/>
      <w:lang w:val="en-GB"/>
    </w:rPr>
  </w:style>
  <w:style w:type="paragraph" w:styleId="4">
    <w:name w:val="heading 3"/>
    <w:basedOn w:val="1"/>
    <w:next w:val="1"/>
    <w:link w:val="17"/>
    <w:autoRedefine/>
    <w:unhideWhenUsed/>
    <w:qFormat/>
    <w:uiPriority w:val="9"/>
    <w:pPr>
      <w:keepNext/>
      <w:keepLines/>
      <w:widowControl/>
      <w:tabs>
        <w:tab w:val="left" w:pos="0"/>
      </w:tabs>
      <w:spacing w:line="560" w:lineRule="exact"/>
      <w:jc w:val="left"/>
      <w:outlineLvl w:val="2"/>
    </w:pPr>
    <w:rPr>
      <w:rFonts w:ascii="方正楷体简体" w:hAnsi="方正楷体简体" w:eastAsia="方正楷体简体"/>
      <w:kern w:val="0"/>
      <w:sz w:val="32"/>
      <w:lang w:val="en-GB"/>
    </w:rPr>
  </w:style>
  <w:style w:type="character" w:default="1" w:styleId="10">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autoRedefine/>
    <w:qFormat/>
    <w:uiPriority w:val="0"/>
  </w:style>
  <w:style w:type="character" w:styleId="12">
    <w:name w:val="Hyperlink"/>
    <w:autoRedefine/>
    <w:qFormat/>
    <w:uiPriority w:val="0"/>
    <w:rPr>
      <w:color w:val="0563C1"/>
      <w:u w:val="single"/>
    </w:rPr>
  </w:style>
  <w:style w:type="character" w:customStyle="1" w:styleId="13">
    <w:name w:val="页眉 字符"/>
    <w:link w:val="7"/>
    <w:autoRedefine/>
    <w:qFormat/>
    <w:uiPriority w:val="0"/>
    <w:rPr>
      <w:kern w:val="2"/>
      <w:sz w:val="18"/>
      <w:szCs w:val="18"/>
    </w:rPr>
  </w:style>
  <w:style w:type="paragraph" w:customStyle="1" w:styleId="14">
    <w:name w:val="Char"/>
    <w:basedOn w:val="1"/>
    <w:autoRedefine/>
    <w:qFormat/>
    <w:uiPriority w:val="0"/>
    <w:rPr>
      <w:szCs w:val="20"/>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Revision"/>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标题 3 字符"/>
    <w:basedOn w:val="10"/>
    <w:link w:val="4"/>
    <w:autoRedefine/>
    <w:qFormat/>
    <w:uiPriority w:val="0"/>
    <w:rPr>
      <w:rFonts w:ascii="方正楷体简体" w:hAnsi="方正楷体简体" w:eastAsia="方正楷体简体"/>
      <w:sz w:val="32"/>
      <w:szCs w:val="24"/>
      <w:lang w:val="en-GB"/>
    </w:rPr>
  </w:style>
  <w:style w:type="character" w:customStyle="1" w:styleId="18">
    <w:name w:val="标题 2 字符"/>
    <w:basedOn w:val="10"/>
    <w:link w:val="3"/>
    <w:autoRedefine/>
    <w:qFormat/>
    <w:uiPriority w:val="9"/>
    <w:rPr>
      <w:rFonts w:ascii="方正黑体简体" w:hAnsi="方正黑体简体" w:eastAsia="方正黑体简体"/>
      <w:sz w:val="32"/>
      <w:szCs w:val="22"/>
      <w:lang w:val="en-GB"/>
    </w:rPr>
  </w:style>
  <w:style w:type="character" w:customStyle="1" w:styleId="19">
    <w:name w:val="标题 1 字符"/>
    <w:basedOn w:val="10"/>
    <w:link w:val="2"/>
    <w:qFormat/>
    <w:uiPriority w:val="9"/>
    <w:rPr>
      <w:rFonts w:ascii="宋体" w:hAnsi="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3947</Words>
  <Characters>519</Characters>
  <Lines>4</Lines>
  <Paragraphs>8</Paragraphs>
  <TotalTime>0</TotalTime>
  <ScaleCrop>false</ScaleCrop>
  <LinksUpToDate>false</LinksUpToDate>
  <CharactersWithSpaces>4458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2024-03-31T05:49:00Z</dcterms:created>
  <dc:creator>GQH</dc:creator>
  <cp:lastModifiedBy>朱赫</cp:lastModifiedBy>
  <cp:lastPrinted>2020-12-30T15:04:00Z</cp:lastPrinted>
  <dcterms:modified xsi:type="dcterms:W3CDTF">2024-04-17T00:50:51Z</dcterms:modified>
  <dc:title>农村部文件排版格式建议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2B1D1CDCA92E41CE97BC53CDD4BB4536</vt:lpwstr>
  </property>
</Properties>
</file>