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52</w:t>
      </w:r>
      <w:bookmarkStart w:id="0" w:name="_GoBack"/>
      <w:bookmarkEnd w:id="0"/>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pPr>
      <w: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t>“二氧化碳电催化还原制C</w:t>
      </w:r>
      <w:r>
        <w:rPr>
          <w:rFonts w:hint="eastAsia" w:ascii="方正大标宋_GBK" w:hAnsi="方正大标宋_GBK" w:eastAsia="方正大标宋_GBK" w:cs="方正大标宋_GBK"/>
          <w:b w:val="0"/>
          <w:bCs w:val="0"/>
          <w:color w:val="000000" w:themeColor="text1"/>
          <w:sz w:val="44"/>
          <w:szCs w:val="44"/>
          <w:vertAlign w:val="subscript"/>
          <w14:textFill>
            <w14:solidFill>
              <w14:schemeClr w14:val="tx1"/>
            </w14:solidFill>
          </w14:textFill>
        </w:rPr>
        <w:t>2</w:t>
      </w:r>
      <w: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t>产物的关键技术开发”比赛方案</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eastAsia="方正楷体简体"/>
          <w:color w:val="000000" w:themeColor="text1"/>
          <w:sz w:val="32"/>
          <w:szCs w:val="32"/>
          <w:lang w:val="en-US"/>
          <w14:textFill>
            <w14:solidFill>
              <w14:schemeClr w14:val="tx1"/>
            </w14:solidFill>
          </w14:textFill>
        </w:rPr>
      </w:pPr>
      <w:r>
        <w:rPr>
          <w:rFonts w:eastAsia="方正楷体简体"/>
          <w:color w:val="000000" w:themeColor="text1"/>
          <w:sz w:val="32"/>
          <w:szCs w:val="32"/>
          <w:lang w:val="en-US"/>
          <w14:textFill>
            <w14:solidFill>
              <w14:schemeClr w14:val="tx1"/>
            </w14:solidFill>
          </w14:textFill>
        </w:rPr>
        <w:t>（</w:t>
      </w:r>
      <w:r>
        <w:rPr>
          <w:rFonts w:hint="eastAsia" w:eastAsia="方正楷体简体"/>
          <w:color w:val="000000" w:themeColor="text1"/>
          <w:sz w:val="32"/>
          <w:szCs w:val="32"/>
          <w:lang w:val="en-US" w:eastAsia="zh-CN"/>
          <w14:textFill>
            <w14:solidFill>
              <w14:schemeClr w14:val="tx1"/>
            </w14:solidFill>
          </w14:textFill>
        </w:rPr>
        <w:t>内蒙古鄂尔多斯电力冶金集团股份有限公司</w:t>
      </w:r>
      <w:r>
        <w:rPr>
          <w:rFonts w:eastAsia="方正楷体简体"/>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内蒙古鄂尔多斯电力冶金集团股份有限公司</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二氧化碳电催化还原制C</w:t>
      </w:r>
      <w:r>
        <w:rPr>
          <w:rFonts w:hint="eastAsia" w:eastAsia="方正仿宋_GBK"/>
          <w:color w:val="000000" w:themeColor="text1"/>
          <w:spacing w:val="0"/>
          <w:sz w:val="32"/>
          <w:szCs w:val="32"/>
          <w:vertAlign w:val="subscript"/>
          <w:lang w:val="en-US"/>
          <w14:textFill>
            <w14:solidFill>
              <w14:schemeClr w14:val="tx1"/>
            </w14:solidFill>
          </w14:textFill>
        </w:rPr>
        <w:t>2</w:t>
      </w:r>
      <w:r>
        <w:rPr>
          <w:rFonts w:hint="eastAsia" w:eastAsia="方正仿宋_GBK"/>
          <w:color w:val="000000" w:themeColor="text1"/>
          <w:spacing w:val="0"/>
          <w:sz w:val="32"/>
          <w:szCs w:val="32"/>
          <w:lang w:val="en-US"/>
          <w14:textFill>
            <w14:solidFill>
              <w14:schemeClr w14:val="tx1"/>
            </w14:solidFill>
          </w14:textFill>
        </w:rPr>
        <w:t>产物的关键技术开发</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题目介绍</w:t>
      </w:r>
    </w:p>
    <w:p>
      <w:pPr>
        <w:widowControl w:val="0"/>
        <w:spacing w:line="560" w:lineRule="exact"/>
        <w:ind w:firstLine="640" w:firstLineChars="200"/>
        <w:jc w:val="both"/>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随着科学技术和工业生产的迅猛发展以及能源消耗的不断增加，温室气体</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的大量排放引发了一系列环境与社会问题，中国计划在2030年</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排放达到峰值，在2060年实现碳中和，这给国内能源结构、产业结构调整带来巨大转型压力，二氧化碳（</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）电催化还原利用可再生能源产生的电能将</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转化为高附加值燃料和化学品，已经成为一种解决气候变化与能源危机的有效途径，电催化还原</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制备C</w:t>
      </w:r>
      <w:r>
        <w:rPr>
          <w:rFonts w:hint="default" w:ascii="Times New Roman" w:hAnsi="Times New Roman" w:eastAsia="方正仿宋_GBK" w:cs="Times New Roman"/>
          <w:color w:val="000000" w:themeColor="text1"/>
          <w:spacing w:val="0"/>
          <w:sz w:val="32"/>
          <w:szCs w:val="32"/>
          <w:vertAlign w:val="subscript"/>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产物存在众多难点</w:t>
      </w:r>
      <w:r>
        <w:rPr>
          <w:rFonts w:hint="eastAsia" w:eastAsia="方正仿宋_GBK" w:cs="Times New Roman"/>
          <w:color w:val="000000" w:themeColor="text1"/>
          <w:spacing w:val="0"/>
          <w:sz w:val="32"/>
          <w:szCs w:val="32"/>
          <w:lang w:eastAsia="zh-CN"/>
          <w14:textFill>
            <w14:solidFill>
              <w14:schemeClr w14:val="tx1"/>
            </w14:solidFill>
          </w14:textFill>
        </w:rPr>
        <w:t>：</w:t>
      </w:r>
    </w:p>
    <w:p>
      <w:pPr>
        <w:widowControl w:val="0"/>
        <w:numPr>
          <w:ilvl w:val="0"/>
          <w:numId w:val="3"/>
        </w:numPr>
        <w:spacing w:line="560" w:lineRule="exact"/>
        <w:ind w:firstLine="640" w:firstLineChars="200"/>
        <w:jc w:val="both"/>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自身化学惰性高，其在催化位点上的吸附及后续的碳氧键断裂等过程都较为困难；</w:t>
      </w:r>
    </w:p>
    <w:p>
      <w:pPr>
        <w:widowControl w:val="0"/>
        <w:numPr>
          <w:ilvl w:val="0"/>
          <w:numId w:val="3"/>
        </w:numPr>
        <w:spacing w:line="560" w:lineRule="exact"/>
        <w:ind w:left="0" w:leftChars="0" w:firstLine="640" w:firstLineChars="200"/>
        <w:jc w:val="both"/>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在水中的溶解度低，且与碳酸、碳酸氢根、碳酸根等物种存在动态平衡，这些物种均难以直接在电催化条件下被还原；</w:t>
      </w:r>
    </w:p>
    <w:p>
      <w:pPr>
        <w:widowControl w:val="0"/>
        <w:numPr>
          <w:ilvl w:val="0"/>
          <w:numId w:val="3"/>
        </w:numPr>
        <w:spacing w:line="560" w:lineRule="exact"/>
        <w:ind w:left="0" w:leftChars="0" w:firstLine="640" w:firstLineChars="200"/>
        <w:jc w:val="both"/>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还原反应存在多种路径，各种路径之间相互竞争，导致产物成分复杂。与生成一碳产物过程相比，二碳及多碳产物的生成涉及碳-碳偶联步骤，这在动力学上是二级反应，不利于与HER副反应的竞争，因此法拉第效率更低。</w:t>
      </w:r>
    </w:p>
    <w:p>
      <w:pPr>
        <w:widowControl w:val="0"/>
        <w:spacing w:line="560" w:lineRule="exact"/>
        <w:ind w:firstLine="640" w:firstLineChars="200"/>
        <w:jc w:val="both"/>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目前实验室阶段的催化剂，催化生成一碳产物的法拉第效率可达95%以上，而二碳产物的法拉第效率则一般为60%左右，三碳产物目前最高为21%，一般在10%以下。且仅有金属Cu与中间产物结合能适中又能继续发生质子耦合电子转移反应，可以直接把</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转化为碳链更长的碳氢化合物和醇类。</w:t>
      </w:r>
    </w:p>
    <w:p>
      <w:pPr>
        <w:widowControl w:val="0"/>
        <w:spacing w:line="560" w:lineRule="exact"/>
        <w:ind w:firstLine="640" w:firstLineChars="200"/>
        <w:jc w:val="both"/>
        <w:rPr>
          <w:rFonts w:eastAsia="方正仿宋_GBK"/>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因此，设计一种成本低廉、始于工业应用、对电催化还原</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CO</w:t>
      </w:r>
      <w:r>
        <w:rPr>
          <w:rFonts w:hint="default" w:ascii="Times New Roman" w:hAnsi="Times New Roman" w:eastAsia="方正仿宋_GBK" w:cs="Times New Roman"/>
          <w:color w:val="000000" w:themeColor="text1"/>
          <w:spacing w:val="0"/>
          <w:sz w:val="32"/>
          <w:szCs w:val="32"/>
          <w:vertAlign w:val="subscript"/>
          <w:lang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制备C</w:t>
      </w:r>
      <w:r>
        <w:rPr>
          <w:rFonts w:hint="default" w:ascii="Times New Roman" w:hAnsi="Times New Roman" w:eastAsia="方正仿宋_GBK" w:cs="Times New Roman"/>
          <w:color w:val="000000" w:themeColor="text1"/>
          <w:spacing w:val="0"/>
          <w:sz w:val="32"/>
          <w:szCs w:val="32"/>
          <w:vertAlign w:val="subscript"/>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产物具有高选择性的铜基催化剂具有较高的研究价值。</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参赛对象</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color w:val="000000" w:themeColor="text1"/>
          <w:spacing w:val="0"/>
          <w:sz w:val="32"/>
          <w:szCs w:val="32"/>
          <w14:textFill>
            <w14:solidFill>
              <w14:schemeClr w14:val="tx1"/>
            </w14:solidFill>
          </w14:textFill>
        </w:rPr>
      </w:pPr>
      <w:r>
        <w:rPr>
          <w:rFonts w:ascii="Times New Roman" w:hAnsi="Times New Roman" w:eastAsia="方正仿宋_GBK" w:cs="Times New Roman"/>
          <w:color w:val="000000" w:themeColor="text1"/>
          <w:spacing w:val="0"/>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每件作品仅可由1所高校推报，高校在推报前要对参赛团队成员及作品进行相关资格审查。</w:t>
      </w:r>
    </w:p>
    <w:p>
      <w:pPr>
        <w:pStyle w:val="7"/>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b/>
          <w:bCs/>
          <w:color w:val="000000" w:themeColor="text1"/>
          <w:spacing w:val="0"/>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10"/>
          <w:rFonts w:ascii="Times New Roman" w:hAnsi="Times New Roman" w:eastAsia="方正仿宋_GBK" w:cs="Times New Roman"/>
          <w:b w:val="0"/>
          <w:bCs w:val="0"/>
          <w:color w:val="000000" w:themeColor="text1"/>
          <w:spacing w:val="0"/>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答题要求</w:t>
      </w:r>
    </w:p>
    <w:p>
      <w:pPr>
        <w:numPr>
          <w:ilvl w:val="0"/>
          <w:numId w:val="0"/>
        </w:numPr>
        <w:spacing w:line="560" w:lineRule="exact"/>
        <w:ind w:firstLine="640" w:firstLineChars="200"/>
        <w:jc w:val="both"/>
        <w:rPr>
          <w:rFonts w:hint="default" w:eastAsia="方正仿宋_GBK"/>
          <w:color w:val="000000" w:themeColor="text1"/>
          <w:spacing w:val="0"/>
          <w:sz w:val="36"/>
          <w:szCs w:val="36"/>
          <w:lang w:val="en-US" w:eastAsia="zh-CN"/>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1.</w:t>
      </w:r>
      <w:r>
        <w:rPr>
          <w:rFonts w:hint="eastAsia" w:eastAsia="方正仿宋_GBK"/>
          <w:color w:val="000000" w:themeColor="text1"/>
          <w:spacing w:val="0"/>
          <w:sz w:val="32"/>
          <w:szCs w:val="32"/>
          <w:lang w:val="en-US" w:eastAsia="zh-CN"/>
          <w14:textFill>
            <w14:solidFill>
              <w14:schemeClr w14:val="tx1"/>
            </w14:solidFill>
          </w14:textFill>
        </w:rPr>
        <w:t xml:space="preserve"> </w:t>
      </w:r>
      <w:r>
        <w:rPr>
          <w:rFonts w:hint="eastAsia" w:eastAsia="方正仿宋_GBK"/>
          <w:color w:val="000000" w:themeColor="text1"/>
          <w:spacing w:val="0"/>
          <w:sz w:val="32"/>
          <w:szCs w:val="32"/>
          <w:lang w:val="en-US"/>
          <w14:textFill>
            <w14:solidFill>
              <w14:schemeClr w14:val="tx1"/>
            </w14:solidFill>
          </w14:textFill>
        </w:rPr>
        <w:t>合理设计铜基催化剂，通过改性提高法拉第效率以及C</w:t>
      </w:r>
      <w:r>
        <w:rPr>
          <w:rFonts w:hint="eastAsia" w:eastAsia="方正仿宋_GBK"/>
          <w:color w:val="000000" w:themeColor="text1"/>
          <w:spacing w:val="0"/>
          <w:sz w:val="32"/>
          <w:szCs w:val="32"/>
          <w:vertAlign w:val="subscript"/>
          <w:lang w:val="en-US"/>
          <w14:textFill>
            <w14:solidFill>
              <w14:schemeClr w14:val="tx1"/>
            </w14:solidFill>
          </w14:textFill>
        </w:rPr>
        <w:t>2</w:t>
      </w:r>
      <w:r>
        <w:rPr>
          <w:rFonts w:hint="eastAsia" w:eastAsia="方正仿宋_GBK"/>
          <w:color w:val="000000" w:themeColor="text1"/>
          <w:spacing w:val="0"/>
          <w:sz w:val="32"/>
          <w:szCs w:val="32"/>
          <w:lang w:val="en-US"/>
          <w14:textFill>
            <w14:solidFill>
              <w14:schemeClr w14:val="tx1"/>
            </w14:solidFill>
          </w14:textFill>
        </w:rPr>
        <w:t>产物选择性</w:t>
      </w:r>
      <w:r>
        <w:rPr>
          <w:rFonts w:hint="eastAsia" w:eastAsia="方正仿宋_GBK"/>
          <w:color w:val="000000" w:themeColor="text1"/>
          <w:spacing w:val="0"/>
          <w:sz w:val="32"/>
          <w:szCs w:val="32"/>
          <w:lang w:val="en-US" w:eastAsia="zh-CN"/>
          <w14:textFill>
            <w14:solidFill>
              <w14:schemeClr w14:val="tx1"/>
            </w14:solidFill>
          </w14:textFill>
        </w:rPr>
        <w:t>，提交可行性报告。</w:t>
      </w:r>
    </w:p>
    <w:p>
      <w:pPr>
        <w:numPr>
          <w:ilvl w:val="0"/>
          <w:numId w:val="0"/>
        </w:num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2.</w:t>
      </w:r>
      <w:r>
        <w:rPr>
          <w:rFonts w:hint="eastAsia" w:eastAsia="方正仿宋_GBK"/>
          <w:color w:val="000000" w:themeColor="text1"/>
          <w:spacing w:val="0"/>
          <w:sz w:val="32"/>
          <w:szCs w:val="32"/>
          <w:lang w:val="en-US" w:eastAsia="zh-CN"/>
          <w14:textFill>
            <w14:solidFill>
              <w14:schemeClr w14:val="tx1"/>
            </w14:solidFill>
          </w14:textFill>
        </w:rPr>
        <w:t xml:space="preserve"> </w:t>
      </w:r>
      <w:r>
        <w:rPr>
          <w:rFonts w:hint="eastAsia" w:eastAsia="方正仿宋_GBK"/>
          <w:color w:val="000000" w:themeColor="text1"/>
          <w:spacing w:val="0"/>
          <w:sz w:val="32"/>
          <w:szCs w:val="32"/>
          <w:lang w:val="en-US"/>
          <w14:textFill>
            <w14:solidFill>
              <w14:schemeClr w14:val="tx1"/>
            </w14:solidFill>
          </w14:textFill>
        </w:rPr>
        <w:t>深入研究铜基催化剂在</w:t>
      </w:r>
      <w:r>
        <w:rPr>
          <w:rFonts w:hint="eastAsia" w:eastAsia="方正仿宋_GBK"/>
          <w:color w:val="000000" w:themeColor="text1"/>
          <w:spacing w:val="0"/>
          <w:sz w:val="32"/>
          <w:szCs w:val="32"/>
          <w:lang w:val="en-US" w:eastAsia="zh-CN"/>
          <w14:textFill>
            <w14:solidFill>
              <w14:schemeClr w14:val="tx1"/>
            </w14:solidFill>
          </w14:textFill>
        </w:rPr>
        <w:t>CO</w:t>
      </w:r>
      <w:r>
        <w:rPr>
          <w:rFonts w:hint="eastAsia" w:eastAsia="方正仿宋_GBK"/>
          <w:color w:val="000000" w:themeColor="text1"/>
          <w:spacing w:val="0"/>
          <w:sz w:val="32"/>
          <w:szCs w:val="32"/>
          <w:vertAlign w:val="subscript"/>
          <w:lang w:val="en-US" w:eastAsia="zh-CN"/>
          <w14:textFill>
            <w14:solidFill>
              <w14:schemeClr w14:val="tx1"/>
            </w14:solidFill>
          </w14:textFill>
        </w:rPr>
        <w:t>2</w:t>
      </w:r>
      <w:r>
        <w:rPr>
          <w:rFonts w:hint="eastAsia" w:eastAsia="方正仿宋_GBK"/>
          <w:color w:val="000000" w:themeColor="text1"/>
          <w:spacing w:val="0"/>
          <w:sz w:val="32"/>
          <w:szCs w:val="32"/>
          <w:lang w:val="en-US"/>
          <w14:textFill>
            <w14:solidFill>
              <w14:schemeClr w14:val="tx1"/>
            </w14:solidFill>
          </w14:textFill>
        </w:rPr>
        <w:t>电催化还原反应条件下的结构演变和构效关系</w:t>
      </w:r>
      <w:r>
        <w:rPr>
          <w:rFonts w:hint="eastAsia" w:eastAsia="方正仿宋_GBK"/>
          <w:color w:val="000000" w:themeColor="text1"/>
          <w:spacing w:val="0"/>
          <w:sz w:val="32"/>
          <w:szCs w:val="32"/>
          <w:lang w:val="en-US" w:eastAsia="zh-CN"/>
          <w14:textFill>
            <w14:solidFill>
              <w14:schemeClr w14:val="tx1"/>
            </w14:solidFill>
          </w14:textFill>
        </w:rPr>
        <w:t>，提交可行性报告。</w:t>
      </w:r>
    </w:p>
    <w:p>
      <w:pPr>
        <w:numPr>
          <w:ilvl w:val="0"/>
          <w:numId w:val="0"/>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3.</w:t>
      </w:r>
      <w:r>
        <w:rPr>
          <w:rFonts w:hint="eastAsia" w:eastAsia="方正仿宋_GBK"/>
          <w:color w:val="000000" w:themeColor="text1"/>
          <w:spacing w:val="0"/>
          <w:sz w:val="32"/>
          <w:szCs w:val="32"/>
          <w:lang w:val="en-US" w:eastAsia="zh-CN"/>
          <w14:textFill>
            <w14:solidFill>
              <w14:schemeClr w14:val="tx1"/>
            </w14:solidFill>
          </w14:textFill>
        </w:rPr>
        <w:t xml:space="preserve"> </w:t>
      </w:r>
      <w:r>
        <w:rPr>
          <w:rFonts w:hint="eastAsia" w:eastAsia="方正仿宋_GBK"/>
          <w:color w:val="000000" w:themeColor="text1"/>
          <w:spacing w:val="0"/>
          <w:sz w:val="32"/>
          <w:szCs w:val="32"/>
          <w:lang w:val="en-US"/>
          <w14:textFill>
            <w14:solidFill>
              <w14:schemeClr w14:val="tx1"/>
            </w14:solidFill>
          </w14:textFill>
        </w:rPr>
        <w:t>了解催化剂电催化制C</w:t>
      </w:r>
      <w:r>
        <w:rPr>
          <w:rFonts w:hint="eastAsia" w:eastAsia="方正仿宋_GBK"/>
          <w:color w:val="000000" w:themeColor="text1"/>
          <w:spacing w:val="0"/>
          <w:sz w:val="32"/>
          <w:szCs w:val="32"/>
          <w:vertAlign w:val="subscript"/>
          <w:lang w:val="en-US"/>
          <w14:textFill>
            <w14:solidFill>
              <w14:schemeClr w14:val="tx1"/>
            </w14:solidFill>
          </w14:textFill>
        </w:rPr>
        <w:t>2</w:t>
      </w:r>
      <w:r>
        <w:rPr>
          <w:rFonts w:hint="eastAsia" w:eastAsia="方正仿宋_GBK"/>
          <w:color w:val="000000" w:themeColor="text1"/>
          <w:spacing w:val="0"/>
          <w:sz w:val="32"/>
          <w:szCs w:val="32"/>
          <w:lang w:val="en-US"/>
          <w14:textFill>
            <w14:solidFill>
              <w14:schemeClr w14:val="tx1"/>
            </w14:solidFill>
          </w14:textFill>
        </w:rPr>
        <w:t>产物的反应机理</w:t>
      </w:r>
      <w:r>
        <w:rPr>
          <w:rFonts w:hint="eastAsia" w:eastAsia="方正仿宋_GBK"/>
          <w:color w:val="000000" w:themeColor="text1"/>
          <w:spacing w:val="0"/>
          <w:sz w:val="32"/>
          <w:szCs w:val="32"/>
          <w:lang w:val="en-US" w:eastAsia="zh-CN"/>
          <w14:textFill>
            <w14:solidFill>
              <w14:schemeClr w14:val="tx1"/>
            </w14:solidFill>
          </w14:textFill>
        </w:rPr>
        <w:t>，提交可行性报告</w:t>
      </w:r>
      <w:r>
        <w:rPr>
          <w:rFonts w:hint="eastAsia" w:eastAsia="方正仿宋_GBK"/>
          <w:color w:val="000000" w:themeColor="text1"/>
          <w:spacing w:val="0"/>
          <w:sz w:val="32"/>
          <w:szCs w:val="32"/>
          <w:lang w:val="en-US"/>
          <w14:textFill>
            <w14:solidFill>
              <w14:schemeClr w14:val="tx1"/>
            </w14:solidFill>
          </w14:textFill>
        </w:rPr>
        <w:t>。</w:t>
      </w:r>
    </w:p>
    <w:p>
      <w:pPr>
        <w:numPr>
          <w:ilvl w:val="0"/>
          <w:numId w:val="0"/>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 xml:space="preserve">4. </w:t>
      </w:r>
      <w:r>
        <w:rPr>
          <w:rFonts w:eastAsia="方正仿宋_GBK"/>
          <w:color w:val="000000" w:themeColor="text1"/>
          <w:spacing w:val="0"/>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pacing w:val="0"/>
          <w:sz w:val="32"/>
          <w:szCs w:val="32"/>
          <w:lang w:val="en-US" w:eastAsia="zh-CN"/>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日前，各参赛团队提交作品。</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作品评选标准</w:t>
      </w:r>
    </w:p>
    <w:p>
      <w:pPr>
        <w:pStyle w:val="4"/>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基本要求</w:t>
      </w:r>
    </w:p>
    <w:p>
      <w:pPr>
        <w:numPr>
          <w:ilvl w:val="0"/>
          <w:numId w:val="4"/>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发展现状调研清晰，研究思路合理，技术路线可行；</w:t>
      </w:r>
    </w:p>
    <w:p>
      <w:pPr>
        <w:numPr>
          <w:ilvl w:val="0"/>
          <w:numId w:val="4"/>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作品具有完整性；</w:t>
      </w:r>
    </w:p>
    <w:p>
      <w:pPr>
        <w:numPr>
          <w:ilvl w:val="0"/>
          <w:numId w:val="4"/>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文档、PPT等展示材料内容齐全、页面整洁、图标清晰、公式准确。</w:t>
      </w:r>
    </w:p>
    <w:p>
      <w:pPr>
        <w:pStyle w:val="4"/>
        <w:ind w:left="0"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优选要求</w:t>
      </w:r>
    </w:p>
    <w:p>
      <w:pPr>
        <w:pStyle w:val="4"/>
        <w:numPr>
          <w:ilvl w:val="0"/>
          <w:numId w:val="0"/>
        </w:numPr>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（1）催化剂设计具有新颖性，催化剂性能优异，催化剂构效关系清晰，机理解释合理；</w:t>
      </w:r>
    </w:p>
    <w:p>
      <w:pPr>
        <w:numPr>
          <w:ilvl w:val="0"/>
          <w:numId w:val="0"/>
        </w:num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（2）催化剂设计合理有一定创新，催化剂性能良好，催化剂构效关系明确，有机理解释；</w:t>
      </w:r>
    </w:p>
    <w:p>
      <w:pPr>
        <w:numPr>
          <w:ilvl w:val="0"/>
          <w:numId w:val="0"/>
        </w:num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（3）催化剂设计合理，催化剂性能良好，催化剂结构和性能能够对应；</w:t>
      </w:r>
    </w:p>
    <w:p>
      <w:pPr>
        <w:numPr>
          <w:ilvl w:val="0"/>
          <w:numId w:val="0"/>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设计方案清晰，程序可运行，可拓展性强；</w:t>
      </w:r>
    </w:p>
    <w:p>
      <w:pPr>
        <w:numPr>
          <w:ilvl w:val="0"/>
          <w:numId w:val="0"/>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eastAsia="zh-CN"/>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研究成果有望投入实践应用。</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作品提交时间</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挑战杯</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竞赛组织协调机构要积极组织学生参赛，安排有关老师给予指导，为参赛团队提供支持保障；</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eastAsia="zh-CN"/>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日前，各参赛团队向组委会提交作品，具体提交要求详见作品提交方式。</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参赛报名及作品提交方式</w:t>
      </w:r>
    </w:p>
    <w:p>
      <w:pPr>
        <w:pStyle w:val="17"/>
        <w:spacing w:line="560" w:lineRule="exact"/>
        <w:ind w:firstLine="640"/>
        <w:jc w:val="both"/>
        <w:rPr>
          <w:color w:val="000000" w:themeColor="text1"/>
          <w:spacing w:val="0"/>
          <w:lang w:val="en-US"/>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1.</w:t>
      </w:r>
      <w:r>
        <w:rPr>
          <w:rFonts w:hint="eastAsia" w:eastAsia="方正楷体_GBK"/>
          <w:color w:val="000000" w:themeColor="text1"/>
          <w:spacing w:val="0"/>
          <w:sz w:val="32"/>
          <w:szCs w:val="32"/>
          <w:lang w:val="en-US" w:eastAsia="zh-CN"/>
          <w14:textFill>
            <w14:solidFill>
              <w14:schemeClr w14:val="tx1"/>
            </w14:solidFill>
          </w14:textFill>
        </w:rPr>
        <w:t xml:space="preserve"> </w:t>
      </w:r>
      <w:r>
        <w:rPr>
          <w:rFonts w:eastAsia="方正楷体_GBK"/>
          <w:color w:val="000000" w:themeColor="text1"/>
          <w:spacing w:val="0"/>
          <w:sz w:val="32"/>
          <w:szCs w:val="32"/>
          <w14:textFill>
            <w14:solidFill>
              <w14:schemeClr w14:val="tx1"/>
            </w14:solidFill>
          </w14:textFill>
        </w:rPr>
        <w:t>网上</w:t>
      </w:r>
      <w:r>
        <w:rPr>
          <w:rFonts w:eastAsia="方正楷体_GBK"/>
          <w:color w:val="000000" w:themeColor="text1"/>
          <w:spacing w:val="0"/>
          <w:sz w:val="32"/>
          <w:szCs w:val="32"/>
          <w:lang w:val="en-US"/>
          <w14:textFill>
            <w14:solidFill>
              <w14:schemeClr w14:val="tx1"/>
            </w14:solidFill>
          </w14:textFill>
        </w:rPr>
        <w:t>报名方式</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（1）请参赛同学通过PC电脑端登录报名网站（https://fxyh-t.bocmartech.com/jbgs/#/login），在线填写报名信息。</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（3）将审核通过的报名表扫描件上传系统，等待所在学校及发榜单位审核。</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（4）请参赛同学注意查看审核状态，如审核不通过，需重新提交。具体操作流程详见报名网站《操作手册》。</w:t>
      </w:r>
    </w:p>
    <w:p>
      <w:pPr>
        <w:pStyle w:val="17"/>
        <w:spacing w:line="560" w:lineRule="exact"/>
        <w:ind w:firstLine="640"/>
        <w:jc w:val="both"/>
        <w:rPr>
          <w:rFonts w:eastAsia="方正楷体_GBK"/>
          <w:color w:val="000000" w:themeColor="text1"/>
          <w:spacing w:val="0"/>
          <w:sz w:val="32"/>
          <w:szCs w:val="32"/>
          <w14:textFill>
            <w14:solidFill>
              <w14:schemeClr w14:val="tx1"/>
            </w14:solidFill>
          </w14:textFill>
        </w:rPr>
      </w:pPr>
      <w:r>
        <w:rPr>
          <w:rFonts w:eastAsia="方正楷体_GBK"/>
          <w:color w:val="000000" w:themeColor="text1"/>
          <w:spacing w:val="0"/>
          <w:sz w:val="32"/>
          <w:szCs w:val="32"/>
          <w14:textFill>
            <w14:solidFill>
              <w14:schemeClr w14:val="tx1"/>
            </w14:solidFill>
          </w14:textFill>
        </w:rPr>
        <w:t>2.</w:t>
      </w:r>
      <w:r>
        <w:rPr>
          <w:rFonts w:hint="eastAsia" w:eastAsia="方正楷体_GBK"/>
          <w:color w:val="000000" w:themeColor="text1"/>
          <w:spacing w:val="0"/>
          <w:sz w:val="32"/>
          <w:szCs w:val="32"/>
          <w:lang w:val="en-US" w:eastAsia="zh-CN"/>
          <w14:textFill>
            <w14:solidFill>
              <w14:schemeClr w14:val="tx1"/>
            </w14:solidFill>
          </w14:textFill>
        </w:rPr>
        <w:t xml:space="preserve"> </w:t>
      </w:r>
      <w:r>
        <w:rPr>
          <w:rFonts w:eastAsia="方正楷体_GBK"/>
          <w:color w:val="000000" w:themeColor="text1"/>
          <w:spacing w:val="0"/>
          <w:sz w:val="32"/>
          <w:szCs w:val="32"/>
          <w14:textFill>
            <w14:solidFill>
              <w14:schemeClr w14:val="tx1"/>
            </w14:solidFill>
          </w14:textFill>
        </w:rPr>
        <w:t>具体作品提交方式</w:t>
      </w:r>
    </w:p>
    <w:p>
      <w:pPr>
        <w:spacing w:line="560" w:lineRule="exact"/>
        <w:ind w:firstLine="640" w:firstLineChars="200"/>
        <w:jc w:val="both"/>
        <w:rPr>
          <w:rFonts w:eastAsiaTheme="minorEastAsia"/>
          <w:color w:val="000000" w:themeColor="text1"/>
          <w:spacing w:val="0"/>
          <w:sz w:val="21"/>
          <w:szCs w:val="21"/>
          <w:lang w:val="en-US"/>
          <w14:textFill>
            <w14:solidFill>
              <w14:schemeClr w14:val="tx1"/>
            </w14:solidFill>
          </w14:textFill>
        </w:rPr>
      </w:pPr>
      <w:r>
        <w:rPr>
          <w:rFonts w:eastAsia="方正仿宋_GBK"/>
          <w:color w:val="000000" w:themeColor="text1"/>
          <w:spacing w:val="0"/>
          <w:sz w:val="32"/>
          <w:szCs w:val="32"/>
          <w14:textFill>
            <w14:solidFill>
              <w14:schemeClr w14:val="tx1"/>
            </w14:solidFill>
          </w14:textFill>
        </w:rPr>
        <w:t>提交具体作品时，务必一并提交1份报名系统中审核通过的参赛报名表（所有信息与系统中填报信息保持严格一致）。</w:t>
      </w:r>
    </w:p>
    <w:p>
      <w:pPr>
        <w:spacing w:line="560" w:lineRule="exact"/>
        <w:ind w:firstLine="640" w:firstLineChars="200"/>
        <w:jc w:val="both"/>
        <w:rPr>
          <w:rFonts w:eastAsia="方正仿宋_GBK"/>
          <w:bCs/>
          <w:color w:val="000000" w:themeColor="text1"/>
          <w:spacing w:val="0"/>
          <w:sz w:val="32"/>
          <w:szCs w:val="32"/>
          <w:lang w:val="en-US"/>
          <w14:textFill>
            <w14:solidFill>
              <w14:schemeClr w14:val="tx1"/>
            </w14:solidFill>
          </w14:textFill>
        </w:rPr>
      </w:pPr>
      <w:r>
        <w:rPr>
          <w:rFonts w:eastAsia="方正仿宋_GBK"/>
          <w:bCs/>
          <w:color w:val="000000" w:themeColor="text1"/>
          <w:spacing w:val="0"/>
          <w:sz w:val="32"/>
          <w:szCs w:val="32"/>
          <w14:textFill>
            <w14:solidFill>
              <w14:schemeClr w14:val="tx1"/>
            </w14:solidFill>
          </w14:textFill>
        </w:rPr>
        <w:t>请将作品文档及程序以压缩包格式上传至网站指定路径（https://challenge.dtxiaotangren.com）。</w:t>
      </w:r>
    </w:p>
    <w:p>
      <w:pPr>
        <w:spacing w:line="560" w:lineRule="exact"/>
        <w:ind w:firstLine="640" w:firstLineChars="200"/>
        <w:jc w:val="both"/>
        <w:rPr>
          <w:rFonts w:eastAsia="方正仿宋_GBK"/>
          <w:bCs/>
          <w:color w:val="000000" w:themeColor="text1"/>
          <w:spacing w:val="0"/>
          <w:sz w:val="32"/>
          <w:szCs w:val="32"/>
          <w14:textFill>
            <w14:solidFill>
              <w14:schemeClr w14:val="tx1"/>
            </w14:solidFill>
          </w14:textFill>
        </w:rPr>
      </w:pPr>
      <w:r>
        <w:rPr>
          <w:rFonts w:eastAsia="方正仿宋_GBK"/>
          <w:bCs/>
          <w:color w:val="000000" w:themeColor="text1"/>
          <w:spacing w:val="0"/>
          <w:sz w:val="32"/>
          <w:szCs w:val="32"/>
          <w14:textFill>
            <w14:solidFill>
              <w14:schemeClr w14:val="tx1"/>
            </w14:solidFill>
          </w14:textFill>
        </w:rPr>
        <w:t>压缩包名称格式：提报单位（学校全称）-选题名称-作品名称。</w:t>
      </w:r>
    </w:p>
    <w:p>
      <w:pPr>
        <w:pStyle w:val="3"/>
        <w:ind w:firstLine="640"/>
        <w:jc w:val="both"/>
        <w:rPr>
          <w:rFonts w:hint="eastAsia" w:ascii="Times New Roman" w:hAnsi="Times New Roman" w:eastAsia="方正黑体_GBK"/>
          <w:color w:val="000000" w:themeColor="text1"/>
          <w:spacing w:val="0"/>
          <w:lang w:val="en-US"/>
          <w14:textFill>
            <w14:solidFill>
              <w14:schemeClr w14:val="tx1"/>
            </w14:solidFill>
          </w14:textFill>
        </w:rPr>
      </w:pPr>
      <w:r>
        <w:rPr>
          <w:rFonts w:hint="eastAsia" w:ascii="Times New Roman" w:hAnsi="Times New Roman" w:eastAsia="方正黑体_GBK"/>
          <w:color w:val="000000" w:themeColor="text1"/>
          <w:spacing w:val="0"/>
          <w:lang w:val="en-US"/>
          <w14:textFill>
            <w14:solidFill>
              <w14:schemeClr w14:val="tx1"/>
            </w14:solidFill>
          </w14:textFill>
        </w:rPr>
        <w:t>赛事保障</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本单位在参赛团队完成相关审核等程序后可提供参观应用现场的机会。</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赛事办公室设在</w:t>
      </w:r>
      <w:r>
        <w:rPr>
          <w:rFonts w:hint="eastAsia" w:eastAsia="方正仿宋_GBK"/>
          <w:color w:val="000000" w:themeColor="text1"/>
          <w:spacing w:val="0"/>
          <w:sz w:val="32"/>
          <w:szCs w:val="32"/>
          <w:lang w:val="en-US" w:eastAsia="zh-CN"/>
          <w14:textFill>
            <w14:solidFill>
              <w14:schemeClr w14:val="tx1"/>
            </w14:solidFill>
          </w14:textFill>
        </w:rPr>
        <w:t>内蒙古鄂尔多斯电力冶金集团股份有限公司工业技术研究院</w:t>
      </w:r>
      <w:r>
        <w:rPr>
          <w:rFonts w:eastAsia="方正仿宋_GBK"/>
          <w:color w:val="000000" w:themeColor="text1"/>
          <w:spacing w:val="0"/>
          <w:sz w:val="32"/>
          <w:szCs w:val="32"/>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Style w:val="3"/>
        <w:ind w:firstLine="640"/>
        <w:jc w:val="both"/>
        <w:rPr>
          <w:rFonts w:hint="eastAsia"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设奖情况及奖励措施</w:t>
      </w:r>
    </w:p>
    <w:p>
      <w:pPr>
        <w:pStyle w:val="4"/>
        <w:numPr>
          <w:ilvl w:val="0"/>
          <w:numId w:val="5"/>
        </w:numPr>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原则上设特等奖5个，一</w:t>
      </w:r>
      <w:r>
        <w:rPr>
          <w:rFonts w:hint="eastAsia" w:eastAsia="方正仿宋_GBK"/>
          <w:color w:val="000000" w:themeColor="text1"/>
          <w:spacing w:val="0"/>
          <w:sz w:val="32"/>
          <w:szCs w:val="32"/>
          <w:lang w:val="en-US" w:eastAsia="zh-CN"/>
          <w14:textFill>
            <w14:solidFill>
              <w14:schemeClr w14:val="tx1"/>
            </w14:solidFill>
          </w14:textFill>
        </w:rPr>
        <w:t>等奖5个，二等奖5个，三等奖5个</w:t>
      </w:r>
      <w:r>
        <w:rPr>
          <w:rFonts w:eastAsia="方正仿宋_GBK"/>
          <w:color w:val="000000" w:themeColor="text1"/>
          <w:spacing w:val="0"/>
          <w:sz w:val="32"/>
          <w:szCs w:val="32"/>
          <w:lang w:val="en-US"/>
          <w14:textFill>
            <w14:solidFill>
              <w14:schemeClr w14:val="tx1"/>
            </w14:solidFill>
          </w14:textFill>
        </w:rPr>
        <w:t>，从特等奖获奖团队中决出1个</w:t>
      </w:r>
      <w:r>
        <w:rPr>
          <w:rFonts w:hint="eastAsia" w:eastAsia="方正仿宋_GBK"/>
          <w:color w:val="000000" w:themeColor="text1"/>
          <w:spacing w:val="0"/>
          <w:sz w:val="32"/>
          <w:szCs w:val="32"/>
          <w:lang w:val="en-US"/>
          <w14:textFill>
            <w14:solidFill>
              <w14:schemeClr w14:val="tx1"/>
            </w14:solidFill>
          </w14:textFill>
        </w:rPr>
        <w:t>“</w:t>
      </w:r>
      <w:r>
        <w:rPr>
          <w:rFonts w:eastAsia="方正仿宋_GBK"/>
          <w:color w:val="000000" w:themeColor="text1"/>
          <w:spacing w:val="0"/>
          <w:sz w:val="32"/>
          <w:szCs w:val="32"/>
          <w:lang w:val="en-US"/>
          <w14:textFill>
            <w14:solidFill>
              <w14:schemeClr w14:val="tx1"/>
            </w14:solidFill>
          </w14:textFill>
        </w:rPr>
        <w:t>擂主</w:t>
      </w:r>
      <w:r>
        <w:rPr>
          <w:rFonts w:hint="eastAsia"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w:t>
      </w:r>
    </w:p>
    <w:p>
      <w:pPr>
        <w:pStyle w:val="4"/>
        <w:numPr>
          <w:ilvl w:val="0"/>
          <w:numId w:val="5"/>
        </w:numPr>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奖励措施</w:t>
      </w:r>
    </w:p>
    <w:p>
      <w:pPr>
        <w:numPr>
          <w:ilvl w:val="0"/>
          <w:numId w:val="6"/>
        </w:numPr>
        <w:spacing w:line="560" w:lineRule="exact"/>
        <w:ind w:firstLine="640" w:firstLineChars="200"/>
        <w:jc w:val="both"/>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“擂主”15000元</w:t>
      </w:r>
      <w:r>
        <w:rPr>
          <w:rFonts w:hint="eastAsia" w:eastAsia="方正仿宋_GBK"/>
          <w:color w:val="000000" w:themeColor="text1"/>
          <w:spacing w:val="0"/>
          <w:sz w:val="32"/>
          <w:szCs w:val="32"/>
          <w:lang w:val="en-US" w:eastAsia="zh-CN"/>
          <w14:textFill>
            <w14:solidFill>
              <w14:schemeClr w14:val="tx1"/>
            </w14:solidFill>
          </w14:textFill>
        </w:rPr>
        <w:t>；</w:t>
      </w:r>
    </w:p>
    <w:p>
      <w:pPr>
        <w:numPr>
          <w:ilvl w:val="0"/>
          <w:numId w:val="6"/>
        </w:numPr>
        <w:spacing w:line="560" w:lineRule="exact"/>
        <w:ind w:firstLine="640" w:firstLineChars="200"/>
        <w:jc w:val="both"/>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特等奖</w:t>
      </w:r>
      <w:r>
        <w:rPr>
          <w:rFonts w:hint="eastAsia" w:eastAsia="方正仿宋_GBK"/>
          <w:color w:val="000000" w:themeColor="text1"/>
          <w:spacing w:val="0"/>
          <w:sz w:val="32"/>
          <w:szCs w:val="32"/>
          <w:lang w:val="en-US" w:eastAsia="zh-CN"/>
          <w14:textFill>
            <w14:solidFill>
              <w14:schemeClr w14:val="tx1"/>
            </w14:solidFill>
          </w14:textFill>
        </w:rPr>
        <w:t>10</w:t>
      </w:r>
      <w:r>
        <w:rPr>
          <w:rFonts w:hint="eastAsia" w:eastAsia="方正仿宋_GBK"/>
          <w:color w:val="000000" w:themeColor="text1"/>
          <w:spacing w:val="0"/>
          <w:sz w:val="32"/>
          <w:szCs w:val="32"/>
          <w:lang w:val="en-US"/>
          <w14:textFill>
            <w14:solidFill>
              <w14:schemeClr w14:val="tx1"/>
            </w14:solidFill>
          </w14:textFill>
        </w:rPr>
        <w:t>000元</w:t>
      </w:r>
      <w:r>
        <w:rPr>
          <w:rFonts w:hint="eastAsia" w:eastAsia="方正仿宋_GBK"/>
          <w:color w:val="000000" w:themeColor="text1"/>
          <w:spacing w:val="0"/>
          <w:sz w:val="32"/>
          <w:szCs w:val="32"/>
          <w:lang w:val="en-US" w:eastAsia="zh-CN"/>
          <w14:textFill>
            <w14:solidFill>
              <w14:schemeClr w14:val="tx1"/>
            </w14:solidFill>
          </w14:textFill>
        </w:rPr>
        <w:t>/个（不含“擂主”）；</w:t>
      </w:r>
    </w:p>
    <w:p>
      <w:pPr>
        <w:numPr>
          <w:ilvl w:val="0"/>
          <w:numId w:val="6"/>
        </w:numPr>
        <w:spacing w:line="560" w:lineRule="exact"/>
        <w:ind w:firstLine="640" w:firstLineChars="200"/>
        <w:jc w:val="both"/>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一等奖</w:t>
      </w:r>
      <w:r>
        <w:rPr>
          <w:rFonts w:hint="eastAsia" w:eastAsia="方正仿宋_GBK"/>
          <w:color w:val="000000" w:themeColor="text1"/>
          <w:spacing w:val="0"/>
          <w:sz w:val="32"/>
          <w:szCs w:val="32"/>
          <w:lang w:val="en-US" w:eastAsia="zh-CN"/>
          <w14:textFill>
            <w14:solidFill>
              <w14:schemeClr w14:val="tx1"/>
            </w14:solidFill>
          </w14:textFill>
        </w:rPr>
        <w:t>5</w:t>
      </w:r>
      <w:r>
        <w:rPr>
          <w:rFonts w:hint="eastAsia" w:eastAsia="方正仿宋_GBK"/>
          <w:color w:val="000000" w:themeColor="text1"/>
          <w:spacing w:val="0"/>
          <w:sz w:val="32"/>
          <w:szCs w:val="32"/>
          <w:lang w:val="en-US"/>
          <w14:textFill>
            <w14:solidFill>
              <w14:schemeClr w14:val="tx1"/>
            </w14:solidFill>
          </w14:textFill>
        </w:rPr>
        <w:t>000元</w:t>
      </w:r>
      <w:r>
        <w:rPr>
          <w:rFonts w:hint="eastAsia" w:eastAsia="方正仿宋_GBK"/>
          <w:color w:val="000000" w:themeColor="text1"/>
          <w:spacing w:val="0"/>
          <w:sz w:val="32"/>
          <w:szCs w:val="32"/>
          <w:lang w:val="en-US" w:eastAsia="zh-CN"/>
          <w14:textFill>
            <w14:solidFill>
              <w14:schemeClr w14:val="tx1"/>
            </w14:solidFill>
          </w14:textFill>
        </w:rPr>
        <w:t>/个；</w:t>
      </w:r>
    </w:p>
    <w:p>
      <w:pPr>
        <w:numPr>
          <w:ilvl w:val="0"/>
          <w:numId w:val="6"/>
        </w:numPr>
        <w:spacing w:line="560" w:lineRule="exact"/>
        <w:ind w:firstLine="640" w:firstLineChars="200"/>
        <w:jc w:val="both"/>
        <w:rPr>
          <w:rFonts w:hint="eastAsia"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二等奖</w:t>
      </w:r>
      <w:r>
        <w:rPr>
          <w:rFonts w:hint="eastAsia" w:eastAsia="方正仿宋_GBK"/>
          <w:color w:val="000000" w:themeColor="text1"/>
          <w:spacing w:val="0"/>
          <w:sz w:val="32"/>
          <w:szCs w:val="32"/>
          <w:lang w:val="en-US" w:eastAsia="zh-CN"/>
          <w14:textFill>
            <w14:solidFill>
              <w14:schemeClr w14:val="tx1"/>
            </w14:solidFill>
          </w14:textFill>
        </w:rPr>
        <w:t>4</w:t>
      </w:r>
      <w:r>
        <w:rPr>
          <w:rFonts w:hint="eastAsia" w:eastAsia="方正仿宋_GBK"/>
          <w:color w:val="000000" w:themeColor="text1"/>
          <w:spacing w:val="0"/>
          <w:sz w:val="32"/>
          <w:szCs w:val="32"/>
          <w:lang w:val="en-US"/>
          <w14:textFill>
            <w14:solidFill>
              <w14:schemeClr w14:val="tx1"/>
            </w14:solidFill>
          </w14:textFill>
        </w:rPr>
        <w:t>000元</w:t>
      </w:r>
      <w:r>
        <w:rPr>
          <w:rFonts w:hint="eastAsia" w:eastAsia="方正仿宋_GBK"/>
          <w:color w:val="000000" w:themeColor="text1"/>
          <w:spacing w:val="0"/>
          <w:sz w:val="32"/>
          <w:szCs w:val="32"/>
          <w:lang w:val="en-US" w:eastAsia="zh-CN"/>
          <w14:textFill>
            <w14:solidFill>
              <w14:schemeClr w14:val="tx1"/>
            </w14:solidFill>
          </w14:textFill>
        </w:rPr>
        <w:t>/个</w:t>
      </w:r>
      <w:r>
        <w:rPr>
          <w:rFonts w:hint="eastAsia" w:eastAsia="方正仿宋_GBK"/>
          <w:color w:val="000000" w:themeColor="text1"/>
          <w:spacing w:val="0"/>
          <w:sz w:val="32"/>
          <w:szCs w:val="32"/>
          <w:lang w:val="en-US"/>
          <w14:textFill>
            <w14:solidFill>
              <w14:schemeClr w14:val="tx1"/>
            </w14:solidFill>
          </w14:textFill>
        </w:rPr>
        <w:t>；</w:t>
      </w:r>
    </w:p>
    <w:p>
      <w:pPr>
        <w:numPr>
          <w:ilvl w:val="0"/>
          <w:numId w:val="6"/>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三等奖</w:t>
      </w:r>
      <w:r>
        <w:rPr>
          <w:rFonts w:hint="eastAsia" w:eastAsia="方正仿宋_GBK"/>
          <w:color w:val="000000" w:themeColor="text1"/>
          <w:spacing w:val="0"/>
          <w:sz w:val="32"/>
          <w:szCs w:val="32"/>
          <w:lang w:val="en-US" w:eastAsia="zh-CN"/>
          <w14:textFill>
            <w14:solidFill>
              <w14:schemeClr w14:val="tx1"/>
            </w14:solidFill>
          </w14:textFill>
        </w:rPr>
        <w:t>3</w:t>
      </w:r>
      <w:r>
        <w:rPr>
          <w:rFonts w:hint="eastAsia" w:eastAsia="方正仿宋_GBK"/>
          <w:color w:val="000000" w:themeColor="text1"/>
          <w:spacing w:val="0"/>
          <w:sz w:val="32"/>
          <w:szCs w:val="32"/>
          <w:lang w:val="en-US"/>
          <w14:textFill>
            <w14:solidFill>
              <w14:schemeClr w14:val="tx1"/>
            </w14:solidFill>
          </w14:textFill>
        </w:rPr>
        <w:t>000元</w:t>
      </w:r>
      <w:r>
        <w:rPr>
          <w:rFonts w:hint="eastAsia" w:eastAsia="方正仿宋_GBK"/>
          <w:color w:val="000000" w:themeColor="text1"/>
          <w:spacing w:val="0"/>
          <w:sz w:val="32"/>
          <w:szCs w:val="32"/>
          <w:lang w:val="en-US" w:eastAsia="zh-CN"/>
          <w14:textFill>
            <w14:solidFill>
              <w14:schemeClr w14:val="tx1"/>
            </w14:solidFill>
          </w14:textFill>
        </w:rPr>
        <w:t>/个</w:t>
      </w:r>
      <w:r>
        <w:rPr>
          <w:rFonts w:eastAsia="方正仿宋_GBK"/>
          <w:color w:val="000000" w:themeColor="text1"/>
          <w:spacing w:val="0"/>
          <w:sz w:val="32"/>
          <w:szCs w:val="32"/>
          <w:lang w:val="en-US"/>
          <w14:textFill>
            <w14:solidFill>
              <w14:schemeClr w14:val="tx1"/>
            </w14:solidFill>
          </w14:textFill>
        </w:rPr>
        <w:t>。</w:t>
      </w:r>
    </w:p>
    <w:p>
      <w:pPr>
        <w:numPr>
          <w:ilvl w:val="0"/>
          <w:numId w:val="6"/>
        </w:num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获奖团队成员</w:t>
      </w:r>
      <w:r>
        <w:rPr>
          <w:rFonts w:hint="eastAsia" w:eastAsia="方正仿宋_GBK"/>
          <w:color w:val="000000" w:themeColor="text1"/>
          <w:spacing w:val="0"/>
          <w:sz w:val="32"/>
          <w:szCs w:val="32"/>
          <w:lang w:val="en-US" w:eastAsia="zh-CN"/>
          <w14:textFill>
            <w14:solidFill>
              <w14:schemeClr w14:val="tx1"/>
            </w14:solidFill>
          </w14:textFill>
        </w:rPr>
        <w:t>可直接到本单位国家企业技术中心工作</w:t>
      </w:r>
      <w:r>
        <w:rPr>
          <w:rFonts w:eastAsia="方正仿宋_GBK"/>
          <w:color w:val="000000" w:themeColor="text1"/>
          <w:spacing w:val="0"/>
          <w:sz w:val="32"/>
          <w:szCs w:val="32"/>
          <w:lang w:val="en-US"/>
          <w14:textFill>
            <w14:solidFill>
              <w14:schemeClr w14:val="tx1"/>
            </w14:solidFill>
          </w14:textFill>
        </w:rPr>
        <w:t>。</w:t>
      </w:r>
    </w:p>
    <w:p>
      <w:pPr>
        <w:pStyle w:val="4"/>
        <w:numPr>
          <w:ilvl w:val="0"/>
          <w:numId w:val="5"/>
        </w:numPr>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奖金发放方式</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所有现金奖励将在比赛结束后1个季度内，通过银行转账的方式，发放至各获奖团队指定的账号。</w:t>
      </w:r>
    </w:p>
    <w:p>
      <w:pPr>
        <w:pStyle w:val="3"/>
        <w:ind w:firstLine="640"/>
        <w:jc w:val="both"/>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比赛专班联系方式</w:t>
      </w:r>
    </w:p>
    <w:p>
      <w:pPr>
        <w:pStyle w:val="4"/>
        <w:numPr>
          <w:ilvl w:val="0"/>
          <w:numId w:val="7"/>
        </w:numPr>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专家指导团队</w:t>
      </w:r>
    </w:p>
    <w:p>
      <w:p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w:t>
      </w:r>
      <w:r>
        <w:rPr>
          <w:rFonts w:hint="eastAsia" w:eastAsia="方正仿宋_GBK"/>
          <w:color w:val="000000" w:themeColor="text1"/>
          <w:spacing w:val="0"/>
          <w:sz w:val="32"/>
          <w:szCs w:val="32"/>
          <w:lang w:val="en-US" w:eastAsia="zh-CN"/>
          <w14:textFill>
            <w14:solidFill>
              <w14:schemeClr w14:val="tx1"/>
            </w14:solidFill>
          </w14:textFill>
        </w:rPr>
        <w:t>苏发强</w:t>
      </w:r>
      <w:r>
        <w:rPr>
          <w:rFonts w:eastAsia="方正仿宋_GBK"/>
          <w:color w:val="000000" w:themeColor="text1"/>
          <w:spacing w:val="0"/>
          <w:sz w:val="32"/>
          <w:szCs w:val="32"/>
          <w:lang w:val="en-US"/>
          <w14:textFill>
            <w14:solidFill>
              <w14:schemeClr w14:val="tx1"/>
            </w14:solidFill>
          </w14:textFill>
        </w:rPr>
        <w:t>，联系方式：</w:t>
      </w:r>
      <w:r>
        <w:rPr>
          <w:rFonts w:hint="eastAsia" w:eastAsia="方正仿宋_GBK"/>
          <w:color w:val="000000" w:themeColor="text1"/>
          <w:spacing w:val="0"/>
          <w:sz w:val="32"/>
          <w:szCs w:val="32"/>
          <w:lang w:val="en-US" w:eastAsia="zh-CN"/>
          <w14:textFill>
            <w14:solidFill>
              <w14:schemeClr w14:val="tx1"/>
            </w14:solidFill>
          </w14:textFill>
        </w:rPr>
        <w:t>0477-2285570/18152499563；</w:t>
      </w:r>
    </w:p>
    <w:p>
      <w:p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指导专家</w:t>
      </w:r>
      <w:r>
        <w:rPr>
          <w:rFonts w:hint="eastAsia" w:eastAsia="方正仿宋_GBK"/>
          <w:color w:val="000000" w:themeColor="text1"/>
          <w:spacing w:val="0"/>
          <w:sz w:val="32"/>
          <w:szCs w:val="32"/>
          <w:lang w:val="en-US" w:eastAsia="zh-CN"/>
          <w14:textFill>
            <w14:solidFill>
              <w14:schemeClr w14:val="tx1"/>
            </w14:solidFill>
          </w14:textFill>
        </w:rPr>
        <w:t>1</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代元元，</w:t>
      </w:r>
      <w:r>
        <w:rPr>
          <w:rFonts w:eastAsia="方正仿宋_GBK"/>
          <w:color w:val="000000" w:themeColor="text1"/>
          <w:spacing w:val="0"/>
          <w:sz w:val="32"/>
          <w:szCs w:val="32"/>
          <w:lang w:val="en-US"/>
          <w14:textFill>
            <w14:solidFill>
              <w14:schemeClr w14:val="tx1"/>
            </w14:solidFill>
          </w14:textFill>
        </w:rPr>
        <w:t>联系方式：</w:t>
      </w:r>
      <w:r>
        <w:rPr>
          <w:rFonts w:hint="eastAsia" w:eastAsia="方正仿宋_GBK"/>
          <w:color w:val="000000" w:themeColor="text1"/>
          <w:spacing w:val="0"/>
          <w:sz w:val="32"/>
          <w:szCs w:val="32"/>
          <w:lang w:val="en-US" w:eastAsia="zh-CN"/>
          <w14:textFill>
            <w14:solidFill>
              <w14:schemeClr w14:val="tx1"/>
            </w14:solidFill>
          </w14:textFill>
        </w:rPr>
        <w:t>0477-2285570/13020112085；</w:t>
      </w:r>
    </w:p>
    <w:p>
      <w:pPr>
        <w:spacing w:line="560" w:lineRule="exact"/>
        <w:ind w:firstLine="640" w:firstLineChars="200"/>
        <w:jc w:val="both"/>
        <w:rPr>
          <w:rFonts w:hint="eastAsia" w:eastAsia="方正仿宋_GBK"/>
          <w:color w:val="000000" w:themeColor="text1"/>
          <w:spacing w:val="0"/>
          <w:sz w:val="32"/>
          <w:szCs w:val="32"/>
          <w:lang w:val="en-US" w:eastAsia="zh-CN"/>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指导专家</w:t>
      </w:r>
      <w:r>
        <w:rPr>
          <w:rFonts w:hint="eastAsia" w:eastAsia="方正仿宋_GBK"/>
          <w:color w:val="000000" w:themeColor="text1"/>
          <w:spacing w:val="0"/>
          <w:sz w:val="32"/>
          <w:szCs w:val="32"/>
          <w:lang w:val="en-US" w:eastAsia="zh-CN"/>
          <w14:textFill>
            <w14:solidFill>
              <w14:schemeClr w14:val="tx1"/>
            </w14:solidFill>
          </w14:textFill>
        </w:rPr>
        <w:t>2</w:t>
      </w:r>
      <w:r>
        <w:rPr>
          <w:rFonts w:eastAsia="方正仿宋_GBK"/>
          <w:color w:val="000000" w:themeColor="text1"/>
          <w:spacing w:val="0"/>
          <w:sz w:val="32"/>
          <w:szCs w:val="32"/>
          <w:lang w:val="en-US"/>
          <w14:textFill>
            <w14:solidFill>
              <w14:schemeClr w14:val="tx1"/>
            </w14:solidFill>
          </w14:textFill>
        </w:rPr>
        <w:t>：</w:t>
      </w:r>
      <w:r>
        <w:rPr>
          <w:rFonts w:hint="eastAsia" w:eastAsia="方正仿宋_GBK"/>
          <w:color w:val="000000" w:themeColor="text1"/>
          <w:spacing w:val="0"/>
          <w:sz w:val="32"/>
          <w:szCs w:val="32"/>
          <w:lang w:val="en-US" w:eastAsia="zh-CN"/>
          <w14:textFill>
            <w14:solidFill>
              <w14:schemeClr w14:val="tx1"/>
            </w14:solidFill>
          </w14:textFill>
        </w:rPr>
        <w:t>薛大香，</w:t>
      </w:r>
      <w:r>
        <w:rPr>
          <w:rFonts w:eastAsia="方正仿宋_GBK"/>
          <w:color w:val="000000" w:themeColor="text1"/>
          <w:spacing w:val="0"/>
          <w:sz w:val="32"/>
          <w:szCs w:val="32"/>
          <w:lang w:val="en-US"/>
          <w14:textFill>
            <w14:solidFill>
              <w14:schemeClr w14:val="tx1"/>
            </w14:solidFill>
          </w14:textFill>
        </w:rPr>
        <w:t>联系方式：</w:t>
      </w:r>
      <w:r>
        <w:rPr>
          <w:rFonts w:hint="eastAsia" w:eastAsia="方正仿宋_GBK"/>
          <w:color w:val="000000" w:themeColor="text1"/>
          <w:spacing w:val="0"/>
          <w:sz w:val="32"/>
          <w:szCs w:val="32"/>
          <w:lang w:val="en-US" w:eastAsia="zh-CN"/>
          <w14:textFill>
            <w14:solidFill>
              <w14:schemeClr w14:val="tx1"/>
            </w14:solidFill>
          </w14:textFill>
        </w:rPr>
        <w:t>0477-2285570/15151807530；</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负责比赛进行期间技术指导保障。</w:t>
      </w:r>
    </w:p>
    <w:p>
      <w:pPr>
        <w:pStyle w:val="4"/>
        <w:numPr>
          <w:ilvl w:val="0"/>
          <w:numId w:val="7"/>
        </w:numPr>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赛事服务团队</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w:t>
      </w:r>
      <w:r>
        <w:rPr>
          <w:rFonts w:hint="eastAsia" w:eastAsia="方正仿宋_GBK"/>
          <w:color w:val="000000" w:themeColor="text1"/>
          <w:spacing w:val="0"/>
          <w:sz w:val="32"/>
          <w:szCs w:val="32"/>
          <w:lang w:val="en-US" w:eastAsia="zh-CN"/>
          <w14:textFill>
            <w14:solidFill>
              <w14:schemeClr w14:val="tx1"/>
            </w14:solidFill>
          </w14:textFill>
        </w:rPr>
        <w:t>代老师</w:t>
      </w:r>
      <w:r>
        <w:rPr>
          <w:rFonts w:eastAsia="方正仿宋_GBK"/>
          <w:color w:val="000000" w:themeColor="text1"/>
          <w:spacing w:val="0"/>
          <w:sz w:val="32"/>
          <w:szCs w:val="32"/>
          <w:lang w:val="en-US"/>
          <w14:textFill>
            <w14:solidFill>
              <w14:schemeClr w14:val="tx1"/>
            </w14:solidFill>
          </w14:textFill>
        </w:rPr>
        <w:t>，联系方式：</w:t>
      </w:r>
      <w:r>
        <w:rPr>
          <w:rFonts w:hint="eastAsia" w:eastAsia="方正仿宋_GBK"/>
          <w:color w:val="000000" w:themeColor="text1"/>
          <w:spacing w:val="0"/>
          <w:sz w:val="32"/>
          <w:szCs w:val="32"/>
          <w:lang w:val="en-US"/>
          <w14:textFill>
            <w14:solidFill>
              <w14:schemeClr w14:val="tx1"/>
            </w14:solidFill>
          </w14:textFill>
        </w:rPr>
        <w:t>0477-2285570/13020112085</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负责比赛进行期间组织服务及后期相关赛务协调联络。</w:t>
      </w:r>
    </w:p>
    <w:p>
      <w:pPr>
        <w:pStyle w:val="4"/>
        <w:numPr>
          <w:ilvl w:val="0"/>
          <w:numId w:val="7"/>
        </w:numPr>
        <w:ind w:left="0" w:firstLine="640" w:firstLineChars="200"/>
        <w:jc w:val="both"/>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联系时间</w:t>
      </w:r>
    </w:p>
    <w:p>
      <w:pPr>
        <w:spacing w:line="560" w:lineRule="exact"/>
        <w:ind w:firstLine="640" w:firstLineChars="200"/>
        <w:jc w:val="both"/>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比赛进行期间工作日（8:30-11:30，14:00-17:30）</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eastAsia="方正黑体_GBK"/>
          <w:color w:val="000000" w:themeColor="text1"/>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内蒙古鄂尔多斯电力冶金集团股份有限公司</w:t>
      </w:r>
    </w:p>
    <w:p>
      <w:pPr>
        <w:spacing w:line="560" w:lineRule="exact"/>
        <w:ind w:firstLine="640" w:firstLineChars="200"/>
        <w:jc w:val="both"/>
        <w:rPr>
          <w:rFonts w:eastAsia="方正仿宋_GBK"/>
          <w:color w:val="000000" w:themeColor="text1"/>
          <w:sz w:val="32"/>
          <w:szCs w:val="32"/>
          <w14:textFill>
            <w14:solidFill>
              <w14:schemeClr w14:val="tx1"/>
            </w14:solidFill>
          </w14:textFill>
        </w:rPr>
      </w:pPr>
    </w:p>
    <w:p>
      <w:pPr>
        <w:jc w:val="both"/>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pageBreakBefore w:val="0"/>
        <w:widowControl/>
        <w:numPr>
          <w:ilvl w:val="255"/>
          <w:numId w:val="0"/>
        </w:numPr>
        <w:kinsoku/>
        <w:wordWrap w:val="0"/>
        <w:overflowPunct/>
        <w:topLinePunct w:val="0"/>
        <w:autoSpaceDE/>
        <w:autoSpaceDN/>
        <w:bidi w:val="0"/>
        <w:adjustRightInd/>
        <w:snapToGrid/>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内蒙古鄂尔多斯电力冶金集团股份有限公司成立于2003年，位于鄂托克经济开发区</w:t>
      </w:r>
      <w:r>
        <w:rPr>
          <w:rFonts w:hint="eastAsia" w:eastAsia="方正仿宋_GBK"/>
          <w:color w:val="000000" w:themeColor="text1"/>
          <w:sz w:val="32"/>
          <w:szCs w:val="32"/>
          <w:lang w:val="en-US" w:eastAsia="zh-CN"/>
          <w14:textFill>
            <w14:solidFill>
              <w14:schemeClr w14:val="tx1"/>
            </w14:solidFill>
          </w14:textFill>
        </w:rPr>
        <w:t>，公司</w:t>
      </w:r>
      <w:r>
        <w:rPr>
          <w:rFonts w:hint="eastAsia" w:eastAsia="方正仿宋_GBK"/>
          <w:color w:val="000000" w:themeColor="text1"/>
          <w:sz w:val="32"/>
          <w:szCs w:val="32"/>
          <w:lang w:val="en-US"/>
          <w14:textFill>
            <w14:solidFill>
              <w14:schemeClr w14:val="tx1"/>
            </w14:solidFill>
          </w14:textFill>
        </w:rPr>
        <w:t>累计完成投资600亿元，在节能环保减碳方面投资已超过</w:t>
      </w:r>
      <w:r>
        <w:rPr>
          <w:rFonts w:hint="eastAsia" w:eastAsia="方正仿宋_GBK"/>
          <w:color w:val="000000" w:themeColor="text1"/>
          <w:sz w:val="32"/>
          <w:szCs w:val="32"/>
          <w:lang w:val="en-US" w:eastAsia="zh-CN"/>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0亿元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年产值400亿元，累计纳税超过</w:t>
      </w:r>
      <w:r>
        <w:rPr>
          <w:rFonts w:hint="eastAsia" w:eastAsia="方正仿宋_GBK"/>
          <w:color w:val="000000" w:themeColor="text1"/>
          <w:sz w:val="32"/>
          <w:szCs w:val="32"/>
          <w:lang w:val="en-US" w:eastAsia="zh-CN"/>
          <w14:textFill>
            <w14:solidFill>
              <w14:schemeClr w14:val="tx1"/>
            </w14:solidFill>
          </w14:textFill>
        </w:rPr>
        <w:t>4</w:t>
      </w:r>
      <w:r>
        <w:rPr>
          <w:rFonts w:hint="eastAsia" w:eastAsia="方正仿宋_GBK"/>
          <w:color w:val="000000" w:themeColor="text1"/>
          <w:sz w:val="32"/>
          <w:szCs w:val="32"/>
          <w:lang w:val="en-US"/>
          <w14:textFill>
            <w14:solidFill>
              <w14:schemeClr w14:val="tx1"/>
            </w14:solidFill>
          </w14:textFill>
        </w:rPr>
        <w:t>00亿元。被认定为国家级“资源节约型、环境友好型”试点企业、国家级“高新技术企业”，是内蒙古自治区“循环经济示范企业”，中国电石工业协会会长单位，中国铁合金工业协会会长单位。</w:t>
      </w:r>
    </w:p>
    <w:p>
      <w:pPr>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在产业结构上，电冶集团致力于打造多能互补新型能源-低碳/高附加值硅基合金-化工先进功能材料-清洁环保”的循环经济产业链，在全国具有独特的产业特点，形成上下游产品有序链接、资源循环转化增值的发展模式，在多个领域均处于行业领先地位，各类产品年产销量超过1000万吨，远销日韩、欧美、中东、东南亚等20多个国家和地区。</w:t>
      </w:r>
    </w:p>
    <w:p>
      <w:pPr>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目前，电冶集团已拥有国家级企业技术中心、国家级技术创新示范企业、全国博士后科研工作站、国家知识产权优势企业、国家CNAS实验室、全国铁合金国家标准研发工作站等国家</w:t>
      </w:r>
      <w:r>
        <w:rPr>
          <w:rFonts w:hint="eastAsia" w:eastAsia="方正仿宋_GBK"/>
          <w:color w:val="000000" w:themeColor="text1"/>
          <w:sz w:val="32"/>
          <w:szCs w:val="32"/>
          <w:lang w:val="en-US" w:eastAsia="zh-CN"/>
          <w14:textFill>
            <w14:solidFill>
              <w14:schemeClr w14:val="tx1"/>
            </w14:solidFill>
          </w14:textFill>
        </w:rPr>
        <w:t>和省部级</w:t>
      </w:r>
      <w:r>
        <w:rPr>
          <w:rFonts w:hint="eastAsia" w:eastAsia="方正仿宋_GBK"/>
          <w:color w:val="000000" w:themeColor="text1"/>
          <w:sz w:val="32"/>
          <w:szCs w:val="32"/>
          <w:lang w:val="en-US"/>
          <w14:textFill>
            <w14:solidFill>
              <w14:schemeClr w14:val="tx1"/>
            </w14:solidFill>
          </w14:textFill>
        </w:rPr>
        <w:t>技术平台资质38</w:t>
      </w:r>
      <w:r>
        <w:rPr>
          <w:rFonts w:hint="eastAsia" w:eastAsia="方正仿宋_GBK"/>
          <w:color w:val="000000" w:themeColor="text1"/>
          <w:sz w:val="32"/>
          <w:szCs w:val="32"/>
          <w:lang w:val="en-US" w:eastAsia="zh-CN"/>
          <w14:textFill>
            <w14:solidFill>
              <w14:schemeClr w14:val="tx1"/>
            </w14:solidFill>
          </w14:textFill>
        </w:rPr>
        <w:t>个</w:t>
      </w:r>
      <w:r>
        <w:rPr>
          <w:rFonts w:hint="eastAsia" w:eastAsia="方正仿宋_GBK"/>
          <w:color w:val="000000" w:themeColor="text1"/>
          <w:sz w:val="32"/>
          <w:szCs w:val="32"/>
          <w:lang w:val="en-US"/>
          <w14:textFill>
            <w14:solidFill>
              <w14:schemeClr w14:val="tx1"/>
            </w14:solidFill>
          </w14:textFill>
        </w:rPr>
        <w:t>。</w:t>
      </w:r>
    </w:p>
    <w:p>
      <w:pPr>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eastAsia"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鄂尔多斯将继续秉承“集智、放胆、拓荒、创新”的企业精神</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扎实推进工业低碳绿色生产，企业经济效益和社会价值贡献并重，以高质量党建引领企业高质量发展，在可持续发展之路上全力以赴、行稳致远，践行“鄂尔多斯温暖全世界”的企业理想。</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ascii="方正黑体_GBK" w:hAnsi="方正黑体_GBK" w:eastAsia="方正黑体_GBK" w:cs="方正黑体_GBK"/>
      </w:rPr>
    </w:lvl>
  </w:abstractNum>
  <w:abstractNum w:abstractNumId="2">
    <w:nsid w:val="0EB790B7"/>
    <w:multiLevelType w:val="singleLevel"/>
    <w:tmpl w:val="0EB790B7"/>
    <w:lvl w:ilvl="0" w:tentative="0">
      <w:start w:val="1"/>
      <w:numFmt w:val="decimal"/>
      <w:suff w:val="space"/>
      <w:lvlText w:val="%1."/>
      <w:lvlJc w:val="left"/>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ascii="Times New Roman" w:hAnsi="Times New Roman" w:eastAsia="方正仿宋楷体" w:cs="Times New Roman"/>
        <w:sz w:val="32"/>
        <w:szCs w:val="32"/>
      </w:rPr>
    </w:lvl>
  </w:abstractNum>
  <w:num w:numId="1">
    <w:abstractNumId w:val="1"/>
  </w:num>
  <w:num w:numId="2">
    <w:abstractNumId w:val="4"/>
  </w:num>
  <w:num w:numId="3">
    <w:abstractNumId w:val="2"/>
  </w:num>
  <w:num w:numId="4">
    <w:abstractNumId w:val="3"/>
  </w:num>
  <w:num w:numId="5">
    <w:abstractNumId w:val="4"/>
    <w:lvlOverride w:ilvl="0">
      <w:startOverride w:val="1"/>
    </w:lvlOverride>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87542"/>
    <w:rsid w:val="00995541"/>
    <w:rsid w:val="00996802"/>
    <w:rsid w:val="009A5F81"/>
    <w:rsid w:val="00A0235C"/>
    <w:rsid w:val="00A22759"/>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9FD1B33"/>
    <w:rsid w:val="0A260073"/>
    <w:rsid w:val="0A8F7AAE"/>
    <w:rsid w:val="0AD671E5"/>
    <w:rsid w:val="0B0B35C4"/>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4548CE"/>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957226"/>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54C6200"/>
    <w:rsid w:val="2604714B"/>
    <w:rsid w:val="26420EB4"/>
    <w:rsid w:val="26680B0E"/>
    <w:rsid w:val="276607BD"/>
    <w:rsid w:val="27707807"/>
    <w:rsid w:val="277E3A4E"/>
    <w:rsid w:val="29095901"/>
    <w:rsid w:val="290F58EC"/>
    <w:rsid w:val="29712213"/>
    <w:rsid w:val="29D50DFD"/>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DF40BE4"/>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C902FE"/>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AE0B2E"/>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1F18BD"/>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D7A4AAD"/>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5B8547E"/>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3237</Words>
  <Characters>3567</Characters>
  <Lines>36</Lines>
  <Paragraphs>10</Paragraphs>
  <TotalTime>0</TotalTime>
  <ScaleCrop>false</ScaleCrop>
  <LinksUpToDate>false</LinksUpToDate>
  <CharactersWithSpaces>3598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2023-02-10T11:47:00Z</cp:lastPrinted>
  <dcterms:modified xsi:type="dcterms:W3CDTF">2024-04-17T00:42:52Z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