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bookmarkStart w:id="1" w:name="_GoBack"/>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46：</w:t>
      </w:r>
    </w:p>
    <w:bookmarkEnd w:id="1"/>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14:textFill>
            <w14:solidFill>
              <w14:schemeClr w14:val="tx1"/>
            </w14:solidFill>
          </w14:textFill>
        </w:rPr>
        <w:t>“湿法磷酸除杂</w:t>
      </w:r>
      <w:r>
        <w:rPr>
          <w:rFonts w:hint="default" w:ascii="Times New Roman" w:hAnsi="Times New Roman" w:eastAsia="方正大标宋_GBK"/>
          <w:b w:val="0"/>
          <w:bCs w:val="0"/>
          <w:color w:val="000000" w:themeColor="text1"/>
          <w:sz w:val="44"/>
          <w:szCs w:val="44"/>
          <w14:textFill>
            <w14:solidFill>
              <w14:schemeClr w14:val="tx1"/>
            </w14:solidFill>
          </w14:textFill>
        </w:rPr>
        <w:t>新技术</w:t>
      </w:r>
      <w:r>
        <w:rPr>
          <w:rFonts w:hint="eastAsia" w:ascii="Times New Roman" w:hAnsi="Times New Roman" w:eastAsia="方正大标宋_GBK"/>
          <w:b w:val="0"/>
          <w:bCs w:val="0"/>
          <w:color w:val="000000" w:themeColor="text1"/>
          <w:sz w:val="44"/>
          <w:szCs w:val="44"/>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14:textFill>
            <w14:solidFill>
              <w14:schemeClr w14:val="tx1"/>
            </w14:solidFill>
          </w14:textFill>
        </w:rPr>
        <w:t>贵州磷化</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14:textFill>
            <w14:solidFill>
              <w14:schemeClr w14:val="tx1"/>
            </w14:solidFill>
          </w14:textFill>
        </w:rPr>
        <w:t>集团</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14:textFill>
            <w14:solidFill>
              <w14:schemeClr w14:val="tx1"/>
            </w14:solidFill>
          </w14:textFill>
        </w:rPr>
        <w:t>有限责任公司</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p>
    <w:p>
      <w:pPr>
        <w:pageBreakBefore w:val="0"/>
        <w:widowControl/>
        <w:kinsoku/>
        <w:wordWrap/>
        <w:overflowPunct/>
        <w:topLinePunct w:val="0"/>
        <w:autoSpaceDE/>
        <w:autoSpaceDN/>
        <w:bidi w:val="0"/>
        <w:adjustRightInd/>
        <w:snapToGrid w:val="0"/>
        <w:spacing w:line="560" w:lineRule="exact"/>
        <w:ind w:left="0"/>
        <w:jc w:val="both"/>
        <w:textAlignment w:val="auto"/>
        <w:outlineLvl w:val="0"/>
        <w:rPr>
          <w:rFonts w:eastAsia="方正仿宋_GBK"/>
          <w:color w:val="000000" w:themeColor="text1"/>
          <w:sz w:val="32"/>
          <w:szCs w:val="32"/>
          <w:lang w:val="en-US"/>
          <w14:textFill>
            <w14:solidFill>
              <w14:schemeClr w14:val="tx1"/>
            </w14:solidFill>
          </w14:textFill>
        </w:rPr>
      </w:pPr>
    </w:p>
    <w:p>
      <w:pPr>
        <w:pStyle w:val="3"/>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一、</w:t>
      </w:r>
      <w:r>
        <w:rPr>
          <w:rFonts w:ascii="Times New Roman" w:hAnsi="Times New Roman" w:eastAsia="方正黑体_GBK"/>
          <w:color w:val="000000" w:themeColor="text1"/>
          <w:lang w:val="en-US"/>
          <w14:textFill>
            <w14:solidFill>
              <w14:schemeClr w14:val="tx1"/>
            </w14:solidFill>
          </w14:textFill>
        </w:rPr>
        <w:t>组织单位</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贵州磷化（集团）有限责任公司</w:t>
      </w:r>
    </w:p>
    <w:p>
      <w:pPr>
        <w:pStyle w:val="3"/>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二、</w:t>
      </w:r>
      <w:r>
        <w:rPr>
          <w:rFonts w:ascii="Times New Roman" w:hAnsi="Times New Roman" w:eastAsia="方正黑体_GBK"/>
          <w:color w:val="000000" w:themeColor="text1"/>
          <w:lang w:val="en-US"/>
          <w14:textFill>
            <w14:solidFill>
              <w14:schemeClr w14:val="tx1"/>
            </w14:solidFill>
          </w14:textFill>
        </w:rPr>
        <w:t>题目名称</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湿法磷酸除杂新技术</w:t>
      </w:r>
    </w:p>
    <w:p>
      <w:pPr>
        <w:pStyle w:val="3"/>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三、</w:t>
      </w:r>
      <w:r>
        <w:rPr>
          <w:rFonts w:hint="eastAsia" w:ascii="Times New Roman" w:hAnsi="Times New Roman" w:eastAsia="方正黑体_GBK"/>
          <w:color w:val="000000" w:themeColor="text1"/>
          <w:lang w:val="en-US"/>
          <w14:textFill>
            <w14:solidFill>
              <w14:schemeClr w14:val="tx1"/>
            </w14:solidFill>
          </w14:textFill>
        </w:rPr>
        <w:t>题目介绍</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pP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在国家“双碳”战略目标背景下，</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2023年，中国新能源汽车销量949.5万辆，同比增长37.9%，</w:t>
      </w:r>
      <w:r>
        <w:rPr>
          <w:rFonts w:hint="default" w:ascii="Times New Roman" w:hAnsi="等线" w:eastAsia="方正仿宋_GBK" w:cs="Times New Roman"/>
          <w:b w:val="0"/>
          <w:bCs w:val="0"/>
          <w:i w:val="0"/>
          <w:iCs w:val="0"/>
          <w:color w:val="auto"/>
          <w:kern w:val="2"/>
          <w:sz w:val="32"/>
          <w:szCs w:val="32"/>
          <w:highlight w:val="none"/>
          <w:vertAlign w:val="baseline"/>
          <w:lang w:val="en-US" w:eastAsia="zh-CN" w:bidi="ar-SA"/>
        </w:rPr>
        <w:t>产销量连续9年位居世界第一，占全球的比重超过60%。</w:t>
      </w:r>
      <w:r>
        <w:rPr>
          <w:rFonts w:hint="eastAsia" w:ascii="Times New Roman" w:hAnsi="等线" w:eastAsia="方正仿宋_GBK" w:cs="Times New Roman"/>
          <w:b w:val="0"/>
          <w:bCs w:val="0"/>
          <w:i w:val="0"/>
          <w:iCs w:val="0"/>
          <w:color w:val="auto"/>
          <w:kern w:val="2"/>
          <w:sz w:val="32"/>
          <w:szCs w:val="32"/>
          <w:highlight w:val="none"/>
          <w:vertAlign w:val="baseline"/>
          <w:lang w:val="en-US" w:eastAsia="zh-CN" w:bidi="ar-SA"/>
        </w:rPr>
        <w:t>据</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预测，到2025年，全球新能源汽车销量将超过2000万辆</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。新能源汽车行业的高速发展对我国“双碳”战略形成了有力支撑。而</w:t>
      </w:r>
      <w:r>
        <w:rPr>
          <w:rFonts w:hint="default" w:ascii="Times New Roman" w:hAnsi="等线" w:eastAsia="方正仿宋_GBK" w:cs="Times New Roman"/>
          <w:b w:val="0"/>
          <w:bCs w:val="0"/>
          <w:i w:val="0"/>
          <w:iCs w:val="0"/>
          <w:color w:val="auto"/>
          <w:kern w:val="2"/>
          <w:sz w:val="32"/>
          <w:szCs w:val="32"/>
          <w:highlight w:val="none"/>
          <w:vertAlign w:val="baseline"/>
          <w:lang w:val="en-US" w:eastAsia="zh-CN" w:bidi="ar-SA"/>
        </w:rPr>
        <w:t>磷酸铁锂正极材料</w:t>
      </w:r>
      <w:r>
        <w:rPr>
          <w:rFonts w:hint="eastAsia" w:ascii="Times New Roman" w:hAnsi="等线" w:eastAsia="方正仿宋_GBK" w:cs="Times New Roman"/>
          <w:b w:val="0"/>
          <w:bCs w:val="0"/>
          <w:i w:val="0"/>
          <w:iCs w:val="0"/>
          <w:color w:val="auto"/>
          <w:kern w:val="2"/>
          <w:sz w:val="32"/>
          <w:szCs w:val="32"/>
          <w:highlight w:val="none"/>
          <w:vertAlign w:val="baseline"/>
          <w:lang w:val="en-US" w:eastAsia="zh-CN" w:bidi="ar-SA"/>
        </w:rPr>
        <w:t>因</w:t>
      </w:r>
      <w:r>
        <w:rPr>
          <w:rFonts w:hint="default" w:ascii="Times New Roman" w:hAnsi="等线" w:eastAsia="方正仿宋_GBK" w:cs="Times New Roman"/>
          <w:b w:val="0"/>
          <w:bCs w:val="0"/>
          <w:i w:val="0"/>
          <w:iCs w:val="0"/>
          <w:color w:val="auto"/>
          <w:kern w:val="2"/>
          <w:sz w:val="32"/>
          <w:szCs w:val="32"/>
          <w:highlight w:val="none"/>
          <w:vertAlign w:val="baseline"/>
          <w:lang w:val="en-US" w:eastAsia="zh-CN" w:bidi="ar-SA"/>
        </w:rPr>
        <w:t>其优良的性能和低廉的价格，在</w:t>
      </w:r>
      <w:r>
        <w:rPr>
          <w:rFonts w:hint="eastAsia" w:ascii="Times New Roman" w:hAnsi="等线" w:eastAsia="方正仿宋_GBK" w:cs="Times New Roman"/>
          <w:b w:val="0"/>
          <w:bCs w:val="0"/>
          <w:i w:val="0"/>
          <w:iCs w:val="0"/>
          <w:color w:val="auto"/>
          <w:kern w:val="2"/>
          <w:sz w:val="32"/>
          <w:szCs w:val="32"/>
          <w:highlight w:val="none"/>
          <w:vertAlign w:val="baseline"/>
          <w:lang w:val="en-US" w:eastAsia="zh-CN" w:bidi="ar-SA"/>
        </w:rPr>
        <w:t>新能源汽车</w:t>
      </w:r>
      <w:r>
        <w:rPr>
          <w:rFonts w:hint="default" w:ascii="Times New Roman" w:hAnsi="等线" w:eastAsia="方正仿宋_GBK" w:cs="Times New Roman"/>
          <w:b w:val="0"/>
          <w:bCs w:val="0"/>
          <w:i w:val="0"/>
          <w:iCs w:val="0"/>
          <w:color w:val="auto"/>
          <w:kern w:val="2"/>
          <w:sz w:val="32"/>
          <w:szCs w:val="32"/>
          <w:highlight w:val="none"/>
          <w:vertAlign w:val="baseline"/>
          <w:lang w:val="en-US" w:eastAsia="zh-CN" w:bidi="ar-SA"/>
        </w:rPr>
        <w:t>电池市场中占据着重要的地位</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，2023年，我国磷酸铁锂正极材料出货量达165万吨，同比增长48.3%，行业预测2025年磷酸铁锂材料需求量将超200万吨</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磷酸作为</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磷酸铁锂电池正极材料前驱体</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的主原料，未来将保持极大的需</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求量，可以说磷酸的高效高质生产，对新能源汽车行业始终占据发展主动权和实现高质量发展起着重要作用</w:t>
      </w:r>
      <w:r>
        <w:rPr>
          <w:rFonts w:hint="eastAsia" w:eastAsia="方正仿宋_GBK" w:cs="Times New Roman"/>
          <w:b w:val="0"/>
          <w:bCs w:val="0"/>
          <w:i w:val="0"/>
          <w:iCs w:val="0"/>
          <w:color w:val="auto"/>
          <w:kern w:val="2"/>
          <w:sz w:val="32"/>
          <w:szCs w:val="32"/>
          <w:highlight w:val="none"/>
          <w:vertAlign w:val="baseline"/>
          <w:lang w:val="en-US" w:eastAsia="zh-CN" w:bidi="ar-SA"/>
        </w:rPr>
        <w:t>。</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同时，</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高浓度磷复肥是粮食的</w:t>
      </w:r>
      <w:r>
        <w:rPr>
          <w:rFonts w:hint="eastAsia" w:eastAsia="方正仿宋_GBK" w:cs="Times New Roman"/>
          <w:b w:val="0"/>
          <w:bCs w:val="0"/>
          <w:i w:val="0"/>
          <w:iCs w:val="0"/>
          <w:color w:val="auto"/>
          <w:kern w:val="2"/>
          <w:sz w:val="32"/>
          <w:szCs w:val="32"/>
          <w:highlight w:val="none"/>
          <w:vertAlign w:val="baseline"/>
          <w:lang w:val="en-US" w:eastAsia="zh-CN" w:bidi="ar-SA"/>
        </w:rPr>
        <w:t>“</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粮食</w:t>
      </w:r>
      <w:r>
        <w:rPr>
          <w:rFonts w:hint="eastAsia" w:eastAsia="方正仿宋_GBK" w:cs="Times New Roman"/>
          <w:b w:val="0"/>
          <w:bCs w:val="0"/>
          <w:i w:val="0"/>
          <w:iCs w:val="0"/>
          <w:color w:val="auto"/>
          <w:kern w:val="2"/>
          <w:sz w:val="32"/>
          <w:szCs w:val="32"/>
          <w:highlight w:val="none"/>
          <w:vertAlign w:val="baseline"/>
          <w:lang w:val="en-US" w:eastAsia="zh-CN" w:bidi="ar-SA"/>
        </w:rPr>
        <w:t>”</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w:t>
      </w:r>
      <w:r>
        <w:rPr>
          <w:rFonts w:hint="eastAsia" w:eastAsia="方正仿宋_GBK" w:cs="Times New Roman"/>
          <w:b w:val="0"/>
          <w:bCs w:val="0"/>
          <w:i w:val="0"/>
          <w:iCs w:val="0"/>
          <w:color w:val="auto"/>
          <w:kern w:val="2"/>
          <w:sz w:val="32"/>
          <w:szCs w:val="32"/>
          <w:highlight w:val="none"/>
          <w:vertAlign w:val="baseline"/>
          <w:lang w:val="en-US" w:eastAsia="zh-CN" w:bidi="ar-SA"/>
        </w:rPr>
        <w:t>对我国粮食稳定增产发挥着重要作用，而</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磷酸作为高浓度磷复肥的主要原料，磷酸的</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高质高效生产</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也直接关系</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着国家粮食安全战略的落地实施。</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我国磷化工发展较晚，除杂净化技术相对落后，工业磷酸中湿法工艺占比相对较低，2022年，我国湿法工艺生产的工业磷酸占比仅约45%，湿法磷酸除杂技术仍有较大的发展空间</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，也容易被国外“卡脖子”</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由于湿法磷酸为酸与磷矿的反应产物，磷酸中含有大量的阳离子（如钙、镁、铁、铝、钾和钠等）、阴离子（如氟离子和硫酸根离子）和重金属离子（如砷、铅、镉、铬和汞等）等，这些杂质，一方面，极大地限制了湿法磷酸食品、医药、半导体和新能源</w:t>
      </w:r>
      <w:r>
        <w:rPr>
          <w:rFonts w:hint="eastAsia" w:eastAsia="方正仿宋_GBK" w:cs="Times New Roman"/>
          <w:b w:val="0"/>
          <w:bCs w:val="0"/>
          <w:i w:val="0"/>
          <w:iCs w:val="0"/>
          <w:color w:val="auto"/>
          <w:kern w:val="2"/>
          <w:sz w:val="32"/>
          <w:szCs w:val="32"/>
          <w:highlight w:val="none"/>
          <w:vertAlign w:val="baseline"/>
          <w:lang w:val="en-US" w:eastAsia="zh-CN" w:bidi="ar-SA"/>
        </w:rPr>
        <w:t>电池材料</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等行业的应用；另一方面，影响了</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高浓度</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磷复肥产品的品质。目前，国内主流的除杂技术为有机溶剂萃取法，这一方法的选择性较差、净化率偏低，且萃余磷酸的利用问题限制其进一步</w:t>
      </w:r>
      <w:r>
        <w:rPr>
          <w:rFonts w:hint="eastAsia" w:eastAsia="方正仿宋_GBK" w:cs="Times New Roman"/>
          <w:b w:val="0"/>
          <w:bCs w:val="0"/>
          <w:i w:val="0"/>
          <w:iCs w:val="0"/>
          <w:color w:val="auto"/>
          <w:kern w:val="2"/>
          <w:sz w:val="32"/>
          <w:szCs w:val="32"/>
          <w:highlight w:val="none"/>
          <w:vertAlign w:val="baseline"/>
          <w:lang w:val="en-US" w:eastAsia="zh-CN" w:bidi="ar-SA"/>
        </w:rPr>
        <w:t>发</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展，因此迫切地需要寻求湿法磷酸除杂新技术以满足下游行业对磷酸品质的要求</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，以避免被国外封锁技术，从而影响我国新能源汽车行业健康持续高质量发展，以及影响我国粮食安全</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w:t>
      </w:r>
    </w:p>
    <w:p>
      <w:pPr>
        <w:pStyle w:val="3"/>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黑体_GBK"/>
          <w:color w:val="000000" w:themeColor="text1"/>
          <w:lang w:val="en-US" w:eastAsia="zh-CN"/>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四、参赛对象</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黑体_GBK"/>
          <w:color w:val="000000" w:themeColor="text1"/>
          <w:lang w:val="en-US" w:eastAsia="zh-CN"/>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五、答题要求</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参赛作品均要求围绕</w:t>
      </w:r>
      <w:r>
        <w:rPr>
          <w:rFonts w:hint="eastAsia" w:ascii="Times New Roman" w:hAnsi="Times New Roman" w:eastAsia="方正仿宋_GBK" w:cs="Times New Roman"/>
          <w:sz w:val="32"/>
          <w:szCs w:val="32"/>
        </w:rPr>
        <w:t>硫酸法制备的湿法磷酸除杂新</w:t>
      </w:r>
      <w:r>
        <w:rPr>
          <w:rFonts w:ascii="Times New Roman" w:hAnsi="Times New Roman" w:eastAsia="方正仿宋_GBK" w:cs="Times New Roman"/>
          <w:sz w:val="32"/>
          <w:szCs w:val="32"/>
        </w:rPr>
        <w:t>技术（</w:t>
      </w:r>
      <w:r>
        <w:rPr>
          <w:rFonts w:hint="eastAsia" w:ascii="Times New Roman" w:hAnsi="Times New Roman" w:eastAsia="方正仿宋_GBK" w:cs="Times New Roman"/>
          <w:sz w:val="32"/>
          <w:szCs w:val="32"/>
        </w:rPr>
        <w:t>阴离子、阳离子和重金属离子等杂质中一种或多种的去除技术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color w:val="000000"/>
          <w:sz w:val="32"/>
          <w:szCs w:val="32"/>
          <w:highlight w:val="none"/>
          <w:lang w:val="en-US" w:eastAsia="zh-CN"/>
        </w:rPr>
        <w:t>溶剂萃取法除外</w:t>
      </w:r>
      <w:r>
        <w:rPr>
          <w:rFonts w:ascii="Times New Roman" w:hAnsi="Times New Roman" w:eastAsia="方正仿宋_GBK" w:cs="Times New Roman"/>
          <w:sz w:val="32"/>
          <w:szCs w:val="32"/>
        </w:rPr>
        <w:t>）。以成果报告（含第三方相关检测报告、</w:t>
      </w:r>
      <w:r>
        <w:rPr>
          <w:rFonts w:hint="eastAsia" w:ascii="Times New Roman" w:hAnsi="Times New Roman" w:eastAsia="方正仿宋_GBK" w:cs="Times New Roman"/>
          <w:sz w:val="32"/>
          <w:szCs w:val="32"/>
        </w:rPr>
        <w:t>实验数据、影像</w:t>
      </w:r>
      <w:r>
        <w:rPr>
          <w:rFonts w:ascii="Times New Roman" w:hAnsi="Times New Roman" w:eastAsia="方正仿宋_GBK" w:cs="Times New Roman"/>
          <w:sz w:val="32"/>
          <w:szCs w:val="32"/>
        </w:rPr>
        <w:t>等相关佐证材料）进行呈现。</w:t>
      </w:r>
      <w:r>
        <w:rPr>
          <w:rFonts w:hint="eastAsia" w:ascii="Times New Roman" w:hAnsi="Times New Roman" w:eastAsia="方正仿宋_GBK" w:cs="Times New Roman"/>
          <w:sz w:val="32"/>
          <w:szCs w:val="32"/>
        </w:rPr>
        <w:t>要求作品逻辑清晰，</w:t>
      </w:r>
      <w:r>
        <w:rPr>
          <w:rFonts w:eastAsia="方正仿宋_GBK"/>
          <w:sz w:val="32"/>
          <w:szCs w:val="32"/>
        </w:rPr>
        <w:t>结构完整</w:t>
      </w:r>
      <w:r>
        <w:rPr>
          <w:rFonts w:hint="eastAsia" w:eastAsia="方正仿宋_GBK"/>
          <w:sz w:val="32"/>
          <w:szCs w:val="32"/>
        </w:rPr>
        <w:t>，数据真实准确</w:t>
      </w:r>
      <w:r>
        <w:rPr>
          <w:rFonts w:eastAsia="方正仿宋_GBK"/>
          <w:sz w:val="32"/>
          <w:szCs w:val="32"/>
        </w:rPr>
        <w:t>，文字简洁流畅</w:t>
      </w:r>
      <w:r>
        <w:rPr>
          <w:rFonts w:hint="eastAsia" w:ascii="Times New Roman" w:hAnsi="Times New Roman" w:eastAsia="方正仿宋_GBK" w:cs="Times New Roman"/>
          <w:sz w:val="32"/>
          <w:szCs w:val="32"/>
        </w:rPr>
        <w:t>，内容具有创造性，结合企业生产实际，对解决实际问题具有一定指导意义。</w:t>
      </w:r>
    </w:p>
    <w:p>
      <w:pPr>
        <w:pageBreakBefore w:val="0"/>
        <w:widowControl/>
        <w:kinsoku/>
        <w:wordWrap/>
        <w:overflowPunct/>
        <w:topLinePunct w:val="0"/>
        <w:autoSpaceDE/>
        <w:autoSpaceDN/>
        <w:bidi w:val="0"/>
        <w:adjustRightInd/>
        <w:snapToGrid/>
        <w:spacing w:line="560" w:lineRule="exact"/>
        <w:ind w:left="0" w:firstLine="664" w:firstLineChars="200"/>
        <w:textAlignment w:val="auto"/>
        <w:rPr>
          <w:rFonts w:hint="default" w:ascii="Times New Roman" w:hAnsi="Times New Roman" w:eastAsia="方正仿宋_GBK" w:cs="Times New Roman"/>
          <w:bCs/>
          <w:spacing w:val="6"/>
          <w:sz w:val="32"/>
          <w:szCs w:val="32"/>
          <w:highlight w:val="none"/>
          <w:lang w:val="en-US" w:eastAsia="zh-CN"/>
        </w:rPr>
      </w:pPr>
      <w:r>
        <w:rPr>
          <w:rFonts w:hint="eastAsia" w:ascii="Times New Roman" w:hAnsi="Times New Roman" w:eastAsia="方正仿宋_GBK" w:cs="Times New Roman"/>
          <w:bCs/>
          <w:spacing w:val="6"/>
          <w:sz w:val="32"/>
          <w:szCs w:val="32"/>
          <w:highlight w:val="none"/>
          <w:lang w:val="en-US" w:eastAsia="zh-CN"/>
        </w:rPr>
        <w:t>除杂后磷酸需满足以下要求之一：</w:t>
      </w:r>
    </w:p>
    <w:p>
      <w:pPr>
        <w:pageBreakBefore w:val="0"/>
        <w:widowControl/>
        <w:numPr>
          <w:ilvl w:val="0"/>
          <w:numId w:val="3"/>
        </w:numPr>
        <w:kinsoku/>
        <w:wordWrap/>
        <w:overflowPunct/>
        <w:topLinePunct w:val="0"/>
        <w:autoSpaceDE/>
        <w:autoSpaceDN/>
        <w:bidi w:val="0"/>
        <w:adjustRightInd/>
        <w:snapToGrid/>
        <w:spacing w:line="560" w:lineRule="exact"/>
        <w:ind w:left="0" w:firstLine="664" w:firstLineChars="200"/>
        <w:textAlignment w:val="auto"/>
        <w:rPr>
          <w:rFonts w:hint="eastAsia" w:ascii="Times New Roman" w:hAnsi="Times New Roman" w:eastAsia="方正仿宋_GBK" w:cs="Times New Roman"/>
          <w:bCs/>
          <w:spacing w:val="6"/>
          <w:sz w:val="32"/>
          <w:szCs w:val="32"/>
          <w:highlight w:val="none"/>
          <w:lang w:val="en-US" w:eastAsia="zh-CN"/>
        </w:rPr>
      </w:pPr>
      <w:r>
        <w:rPr>
          <w:rFonts w:hint="eastAsia" w:ascii="Times New Roman" w:hAnsi="Times New Roman" w:eastAsia="方正仿宋_GBK" w:cs="Times New Roman"/>
          <w:bCs/>
          <w:spacing w:val="6"/>
          <w:sz w:val="32"/>
          <w:szCs w:val="32"/>
          <w:highlight w:val="none"/>
          <w:lang w:val="en-US" w:eastAsia="zh-CN"/>
        </w:rPr>
        <w:t>以肥料级磷酸（MER值≤9%）为研究对象，除杂后MER值≤3%;</w:t>
      </w:r>
    </w:p>
    <w:p>
      <w:pPr>
        <w:pageBreakBefore w:val="0"/>
        <w:widowControl/>
        <w:numPr>
          <w:ilvl w:val="0"/>
          <w:numId w:val="3"/>
        </w:numPr>
        <w:kinsoku/>
        <w:wordWrap/>
        <w:overflowPunct/>
        <w:topLinePunct w:val="0"/>
        <w:autoSpaceDE/>
        <w:autoSpaceDN/>
        <w:bidi w:val="0"/>
        <w:adjustRightInd/>
        <w:snapToGrid/>
        <w:spacing w:line="560" w:lineRule="exact"/>
        <w:ind w:left="0" w:leftChars="0" w:firstLine="664" w:firstLineChars="200"/>
        <w:textAlignment w:val="auto"/>
        <w:rPr>
          <w:rFonts w:hint="eastAsia" w:ascii="Times New Roman" w:hAnsi="Times New Roman" w:eastAsia="方正仿宋_GBK" w:cs="Times New Roman"/>
          <w:bCs/>
          <w:spacing w:val="6"/>
          <w:sz w:val="32"/>
          <w:szCs w:val="32"/>
          <w:highlight w:val="none"/>
          <w:lang w:val="en-US" w:eastAsia="zh-CN"/>
        </w:rPr>
      </w:pPr>
      <w:r>
        <w:rPr>
          <w:rFonts w:hint="eastAsia" w:ascii="Times New Roman" w:hAnsi="Times New Roman" w:eastAsia="方正仿宋_GBK" w:cs="Times New Roman"/>
          <w:bCs/>
          <w:spacing w:val="6"/>
          <w:sz w:val="32"/>
          <w:szCs w:val="32"/>
          <w:highlight w:val="none"/>
          <w:lang w:val="en-US" w:eastAsia="zh-CN"/>
        </w:rPr>
        <w:t>以萃余磷酸（MER值≤16%）为研究对象，除杂后MER值≤8%;</w:t>
      </w:r>
    </w:p>
    <w:p>
      <w:pPr>
        <w:pageBreakBefore w:val="0"/>
        <w:widowControl/>
        <w:numPr>
          <w:ilvl w:val="0"/>
          <w:numId w:val="3"/>
        </w:numPr>
        <w:kinsoku/>
        <w:wordWrap/>
        <w:overflowPunct/>
        <w:topLinePunct w:val="0"/>
        <w:autoSpaceDE/>
        <w:autoSpaceDN/>
        <w:bidi w:val="0"/>
        <w:adjustRightInd/>
        <w:snapToGrid/>
        <w:spacing w:line="560" w:lineRule="exact"/>
        <w:ind w:left="0" w:leftChars="0" w:firstLine="664" w:firstLineChars="200"/>
        <w:textAlignment w:val="auto"/>
        <w:rPr>
          <w:rFonts w:hint="default" w:ascii="Times New Roman" w:hAnsi="Times New Roman" w:eastAsia="方正仿宋_GBK" w:cs="Times New Roman"/>
          <w:bCs/>
          <w:spacing w:val="6"/>
          <w:sz w:val="32"/>
          <w:szCs w:val="32"/>
          <w:highlight w:val="none"/>
          <w:lang w:val="en-US" w:eastAsia="zh-CN"/>
        </w:rPr>
      </w:pPr>
      <w:r>
        <w:rPr>
          <w:rFonts w:hint="eastAsia" w:ascii="Times New Roman" w:hAnsi="Times New Roman" w:eastAsia="方正仿宋_GBK" w:cs="Times New Roman"/>
          <w:bCs/>
          <w:spacing w:val="6"/>
          <w:sz w:val="32"/>
          <w:szCs w:val="32"/>
          <w:highlight w:val="none"/>
          <w:lang w:val="en-US" w:eastAsia="zh-CN"/>
        </w:rPr>
        <w:t>以</w:t>
      </w:r>
      <w:r>
        <w:rPr>
          <w:rFonts w:hint="default" w:ascii="Times New Roman" w:hAnsi="Times New Roman" w:eastAsia="方正仿宋_GBK" w:cs="Times New Roman"/>
          <w:bCs/>
          <w:spacing w:val="6"/>
          <w:sz w:val="32"/>
          <w:szCs w:val="32"/>
          <w:highlight w:val="none"/>
          <w:lang w:val="en-US" w:eastAsia="zh-CN"/>
        </w:rPr>
        <w:t>提纯后的净化磷酸（85%实物酸）</w:t>
      </w:r>
      <w:r>
        <w:rPr>
          <w:rFonts w:hint="eastAsia" w:ascii="Times New Roman" w:hAnsi="Times New Roman" w:eastAsia="方正仿宋_GBK" w:cs="Times New Roman"/>
          <w:bCs/>
          <w:spacing w:val="6"/>
          <w:sz w:val="32"/>
          <w:szCs w:val="32"/>
          <w:highlight w:val="none"/>
          <w:lang w:val="en-US" w:eastAsia="zh-CN"/>
        </w:rPr>
        <w:t>为研究对象，除杂后</w:t>
      </w:r>
      <w:r>
        <w:rPr>
          <w:rFonts w:hint="default" w:ascii="Times New Roman" w:hAnsi="Times New Roman" w:eastAsia="方正仿宋_GBK" w:cs="Times New Roman"/>
          <w:bCs/>
          <w:spacing w:val="6"/>
          <w:sz w:val="32"/>
          <w:szCs w:val="32"/>
          <w:highlight w:val="none"/>
          <w:lang w:val="en-US" w:eastAsia="zh-CN"/>
        </w:rPr>
        <w:t>色度（黑曾）≤5，硫酸根≤12ppm，铁≤2ppm，钠≤2.5ppm，钙≤1.5ppm，钾≤1.5ppm，砷≤0.1ppm，氯≤1ppm，铅≤0.3ppm</w:t>
      </w:r>
      <w:r>
        <w:rPr>
          <w:rFonts w:hint="eastAsia" w:ascii="Times New Roman" w:hAnsi="Times New Roman" w:eastAsia="方正仿宋_GBK" w:cs="Times New Roman"/>
          <w:bCs/>
          <w:spacing w:val="6"/>
          <w:sz w:val="32"/>
          <w:szCs w:val="32"/>
          <w:highlight w:val="none"/>
          <w:lang w:val="en-US" w:eastAsia="zh-CN"/>
        </w:rPr>
        <w:t>。</w:t>
      </w:r>
    </w:p>
    <w:p>
      <w:pPr>
        <w:pageBreakBefore w:val="0"/>
        <w:widowControl/>
        <w:numPr>
          <w:ilvl w:val="0"/>
          <w:numId w:val="0"/>
        </w:numPr>
        <w:kinsoku/>
        <w:wordWrap/>
        <w:overflowPunct/>
        <w:topLinePunct w:val="0"/>
        <w:autoSpaceDE/>
        <w:autoSpaceDN/>
        <w:bidi w:val="0"/>
        <w:adjustRightInd/>
        <w:snapToGrid/>
        <w:spacing w:line="560" w:lineRule="exact"/>
        <w:ind w:left="0" w:firstLine="664" w:firstLineChars="200"/>
        <w:textAlignment w:val="auto"/>
        <w:rPr>
          <w:rFonts w:hint="default" w:ascii="Times New Roman" w:hAnsi="Times New Roman" w:eastAsia="方正仿宋_GBK" w:cs="Times New Roman"/>
          <w:bCs/>
          <w:spacing w:val="6"/>
          <w:sz w:val="28"/>
          <w:szCs w:val="28"/>
          <w:highlight w:val="none"/>
          <w:lang w:val="en-US" w:eastAsia="zh-CN"/>
        </w:rPr>
      </w:pPr>
      <w:r>
        <w:rPr>
          <w:rFonts w:hint="eastAsia" w:ascii="Times New Roman" w:hAnsi="Times New Roman" w:eastAsia="方正仿宋_GBK" w:cs="Times New Roman"/>
          <w:bCs/>
          <w:spacing w:val="6"/>
          <w:sz w:val="32"/>
          <w:szCs w:val="32"/>
          <w:highlight w:val="none"/>
          <w:lang w:val="en-US" w:eastAsia="zh-CN"/>
        </w:rPr>
        <w:t xml:space="preserve">   </w:t>
      </w:r>
      <w:r>
        <w:rPr>
          <w:rFonts w:hint="eastAsia" w:ascii="Times New Roman" w:hAnsi="Times New Roman" w:eastAsia="方正仿宋_GBK" w:cs="Times New Roman"/>
          <w:bCs/>
          <w:spacing w:val="6"/>
          <w:sz w:val="28"/>
          <w:szCs w:val="28"/>
          <w:highlight w:val="none"/>
          <w:lang w:val="en-US" w:eastAsia="zh-CN"/>
        </w:rPr>
        <w:t>注：MER=(Fe</w:t>
      </w:r>
      <w:r>
        <w:rPr>
          <w:rFonts w:hint="eastAsia" w:ascii="Times New Roman" w:hAnsi="Times New Roman" w:eastAsia="方正仿宋_GBK" w:cs="Times New Roman"/>
          <w:bCs/>
          <w:spacing w:val="6"/>
          <w:sz w:val="28"/>
          <w:szCs w:val="28"/>
          <w:highlight w:val="none"/>
          <w:vertAlign w:val="subscript"/>
          <w:lang w:val="en-US" w:eastAsia="zh-CN"/>
        </w:rPr>
        <w:t>2</w:t>
      </w:r>
      <w:r>
        <w:rPr>
          <w:rFonts w:hint="eastAsia" w:ascii="Times New Roman" w:hAnsi="Times New Roman" w:eastAsia="方正仿宋_GBK" w:cs="Times New Roman"/>
          <w:bCs/>
          <w:spacing w:val="6"/>
          <w:sz w:val="28"/>
          <w:szCs w:val="28"/>
          <w:highlight w:val="none"/>
          <w:lang w:val="en-US" w:eastAsia="zh-CN"/>
        </w:rPr>
        <w:t>O</w:t>
      </w:r>
      <w:r>
        <w:rPr>
          <w:rFonts w:hint="eastAsia" w:ascii="Times New Roman" w:hAnsi="Times New Roman" w:eastAsia="方正仿宋_GBK" w:cs="Times New Roman"/>
          <w:bCs/>
          <w:spacing w:val="6"/>
          <w:sz w:val="28"/>
          <w:szCs w:val="28"/>
          <w:highlight w:val="none"/>
          <w:vertAlign w:val="subscript"/>
          <w:lang w:val="en-US" w:eastAsia="zh-CN"/>
        </w:rPr>
        <w:t>3</w:t>
      </w:r>
      <w:r>
        <w:rPr>
          <w:rFonts w:hint="eastAsia" w:ascii="Times New Roman" w:hAnsi="Times New Roman" w:eastAsia="方正仿宋_GBK" w:cs="Times New Roman"/>
          <w:bCs/>
          <w:spacing w:val="6"/>
          <w:sz w:val="28"/>
          <w:szCs w:val="28"/>
          <w:highlight w:val="none"/>
          <w:lang w:val="en-US" w:eastAsia="zh-CN"/>
        </w:rPr>
        <w:t>%+MgO%+Al</w:t>
      </w:r>
      <w:r>
        <w:rPr>
          <w:rFonts w:hint="eastAsia" w:ascii="Times New Roman" w:hAnsi="Times New Roman" w:eastAsia="方正仿宋_GBK" w:cs="Times New Roman"/>
          <w:bCs/>
          <w:spacing w:val="6"/>
          <w:sz w:val="28"/>
          <w:szCs w:val="28"/>
          <w:highlight w:val="none"/>
          <w:vertAlign w:val="subscript"/>
          <w:lang w:val="en-US" w:eastAsia="zh-CN"/>
        </w:rPr>
        <w:t>2</w:t>
      </w:r>
      <w:r>
        <w:rPr>
          <w:rFonts w:hint="eastAsia" w:ascii="Times New Roman" w:hAnsi="Times New Roman" w:eastAsia="方正仿宋_GBK" w:cs="Times New Roman"/>
          <w:bCs/>
          <w:spacing w:val="6"/>
          <w:sz w:val="28"/>
          <w:szCs w:val="28"/>
          <w:highlight w:val="none"/>
          <w:lang w:val="en-US" w:eastAsia="zh-CN"/>
        </w:rPr>
        <w:t>O</w:t>
      </w:r>
      <w:r>
        <w:rPr>
          <w:rFonts w:hint="eastAsia" w:ascii="Times New Roman" w:hAnsi="Times New Roman" w:eastAsia="方正仿宋_GBK" w:cs="Times New Roman"/>
          <w:bCs/>
          <w:spacing w:val="6"/>
          <w:sz w:val="28"/>
          <w:szCs w:val="28"/>
          <w:highlight w:val="none"/>
          <w:vertAlign w:val="subscript"/>
          <w:lang w:val="en-US" w:eastAsia="zh-CN"/>
        </w:rPr>
        <w:t>3</w:t>
      </w:r>
      <w:r>
        <w:rPr>
          <w:rFonts w:hint="eastAsia" w:ascii="Times New Roman" w:hAnsi="Times New Roman" w:eastAsia="方正仿宋_GBK" w:cs="Times New Roman"/>
          <w:bCs/>
          <w:spacing w:val="6"/>
          <w:sz w:val="28"/>
          <w:szCs w:val="28"/>
          <w:highlight w:val="none"/>
          <w:lang w:val="en-US" w:eastAsia="zh-CN"/>
        </w:rPr>
        <w:t>%) / P</w:t>
      </w:r>
      <w:r>
        <w:rPr>
          <w:rFonts w:hint="eastAsia" w:ascii="Times New Roman" w:hAnsi="Times New Roman" w:eastAsia="方正仿宋_GBK" w:cs="Times New Roman"/>
          <w:bCs/>
          <w:spacing w:val="6"/>
          <w:sz w:val="28"/>
          <w:szCs w:val="28"/>
          <w:highlight w:val="none"/>
          <w:vertAlign w:val="subscript"/>
          <w:lang w:val="en-US" w:eastAsia="zh-CN"/>
        </w:rPr>
        <w:t>2</w:t>
      </w:r>
      <w:r>
        <w:rPr>
          <w:rFonts w:hint="eastAsia" w:ascii="Times New Roman" w:hAnsi="Times New Roman" w:eastAsia="方正仿宋_GBK" w:cs="Times New Roman"/>
          <w:bCs/>
          <w:spacing w:val="6"/>
          <w:sz w:val="28"/>
          <w:szCs w:val="28"/>
          <w:highlight w:val="none"/>
          <w:lang w:val="en-US" w:eastAsia="zh-CN"/>
        </w:rPr>
        <w:t>O</w:t>
      </w:r>
      <w:r>
        <w:rPr>
          <w:rFonts w:hint="eastAsia" w:ascii="Times New Roman" w:hAnsi="Times New Roman" w:eastAsia="方正仿宋_GBK" w:cs="Times New Roman"/>
          <w:bCs/>
          <w:spacing w:val="6"/>
          <w:sz w:val="28"/>
          <w:szCs w:val="28"/>
          <w:highlight w:val="none"/>
          <w:vertAlign w:val="subscript"/>
          <w:lang w:val="en-US" w:eastAsia="zh-CN"/>
        </w:rPr>
        <w:t>5</w:t>
      </w:r>
      <w:r>
        <w:rPr>
          <w:rFonts w:hint="eastAsia" w:ascii="Times New Roman" w:hAnsi="Times New Roman" w:eastAsia="方正仿宋_GBK" w:cs="Times New Roman"/>
          <w:bCs/>
          <w:spacing w:val="6"/>
          <w:sz w:val="28"/>
          <w:szCs w:val="28"/>
          <w:highlight w:val="none"/>
          <w:lang w:val="en-US" w:eastAsia="zh-CN"/>
        </w:rPr>
        <w:t>%*100%</w:t>
      </w:r>
    </w:p>
    <w:p>
      <w:pPr>
        <w:pageBreakBefore w:val="0"/>
        <w:widowControl/>
        <w:numPr>
          <w:ilvl w:val="0"/>
          <w:numId w:val="3"/>
        </w:numPr>
        <w:kinsoku/>
        <w:wordWrap/>
        <w:overflowPunct/>
        <w:topLinePunct w:val="0"/>
        <w:autoSpaceDE/>
        <w:autoSpaceDN/>
        <w:bidi w:val="0"/>
        <w:adjustRightInd/>
        <w:snapToGrid/>
        <w:spacing w:line="560" w:lineRule="exact"/>
        <w:ind w:left="0" w:leftChars="0" w:firstLine="664" w:firstLineChars="200"/>
        <w:textAlignment w:val="auto"/>
        <w:rPr>
          <w:rFonts w:hint="eastAsia" w:ascii="Times New Roman" w:hAnsi="Times New Roman" w:eastAsia="方正仿宋_GBK" w:cs="Times New Roman"/>
          <w:bCs/>
          <w:spacing w:val="6"/>
          <w:sz w:val="32"/>
          <w:szCs w:val="32"/>
          <w:highlight w:val="none"/>
          <w:lang w:val="en-US" w:eastAsia="zh-CN"/>
        </w:rPr>
      </w:pPr>
      <w:r>
        <w:rPr>
          <w:rFonts w:hint="eastAsia" w:ascii="Times New Roman" w:hAnsi="Times New Roman" w:eastAsia="方正仿宋_GBK" w:cs="Times New Roman"/>
          <w:bCs/>
          <w:spacing w:val="6"/>
          <w:sz w:val="32"/>
          <w:szCs w:val="32"/>
          <w:highlight w:val="none"/>
          <w:lang w:val="en-US" w:eastAsia="zh-CN"/>
        </w:rPr>
        <w:t>根据大赛整体时间安排并结合科研攻关的科学规律，8月12日前，各参赛团队提交作品。</w:t>
      </w:r>
    </w:p>
    <w:p>
      <w:pPr>
        <w:pStyle w:val="3"/>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黑体_GBK"/>
          <w:color w:val="000000" w:themeColor="text1"/>
          <w:lang w:val="en-US" w:eastAsia="zh-CN"/>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六、作品评选标准</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 xml:space="preserve">1. </w:t>
      </w:r>
      <w:r>
        <w:rPr>
          <w:rFonts w:hint="eastAsia" w:ascii="Times New Roman" w:hAnsi="Times New Roman" w:eastAsia="方正仿宋_GBK" w:cs="Times New Roman"/>
          <w:sz w:val="32"/>
          <w:szCs w:val="32"/>
        </w:rPr>
        <w:t>综述丰富性：参赛作品对目前湿法磷酸技术调查充分，评价合理，占比</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 xml:space="preserve">2. </w:t>
      </w:r>
      <w:r>
        <w:rPr>
          <w:rFonts w:ascii="Times New Roman" w:hAnsi="Times New Roman" w:eastAsia="方正仿宋_GBK" w:cs="Times New Roman"/>
          <w:sz w:val="32"/>
          <w:szCs w:val="32"/>
        </w:rPr>
        <w:t>课题契合度：参赛作品功能与项目课题及企业实际紧密结合</w:t>
      </w:r>
      <w:r>
        <w:rPr>
          <w:rFonts w:hint="eastAsia" w:ascii="Times New Roman" w:hAnsi="Times New Roman" w:eastAsia="方正仿宋_GBK" w:cs="Times New Roman"/>
          <w:sz w:val="32"/>
          <w:szCs w:val="32"/>
        </w:rPr>
        <w:t>，占比10%</w:t>
      </w:r>
      <w:r>
        <w:rPr>
          <w:rFonts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 xml:space="preserve">3. </w:t>
      </w:r>
      <w:r>
        <w:rPr>
          <w:rFonts w:hint="eastAsia" w:ascii="Times New Roman" w:hAnsi="Times New Roman" w:eastAsia="方正仿宋_GBK" w:cs="Times New Roman"/>
          <w:sz w:val="32"/>
          <w:szCs w:val="32"/>
        </w:rPr>
        <w:t>技术</w:t>
      </w:r>
      <w:r>
        <w:rPr>
          <w:rFonts w:ascii="Times New Roman" w:hAnsi="Times New Roman" w:eastAsia="方正仿宋_GBK" w:cs="Times New Roman"/>
          <w:sz w:val="32"/>
          <w:szCs w:val="32"/>
        </w:rPr>
        <w:t>创新性：参赛作品具有充分的创意创新特性，应用场景及问题解决思路具备新颖性</w:t>
      </w:r>
      <w:r>
        <w:rPr>
          <w:rFonts w:hint="eastAsia" w:ascii="Times New Roman" w:hAnsi="Times New Roman" w:eastAsia="方正仿宋_GBK" w:cs="Times New Roman"/>
          <w:sz w:val="32"/>
          <w:szCs w:val="32"/>
        </w:rPr>
        <w:t>，占比3</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 xml:space="preserve">4. </w:t>
      </w:r>
      <w:r>
        <w:rPr>
          <w:rFonts w:hint="eastAsia" w:ascii="Times New Roman" w:hAnsi="Times New Roman" w:eastAsia="方正仿宋_GBK" w:cs="Times New Roman"/>
          <w:sz w:val="32"/>
          <w:szCs w:val="32"/>
        </w:rPr>
        <w:t>研究合理性：研究思路合理，实验设计科学，占比20%。</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 xml:space="preserve">5. </w:t>
      </w:r>
      <w:r>
        <w:rPr>
          <w:rFonts w:ascii="Times New Roman" w:hAnsi="Times New Roman" w:eastAsia="方正仿宋_GBK" w:cs="Times New Roman"/>
          <w:sz w:val="32"/>
          <w:szCs w:val="32"/>
        </w:rPr>
        <w:t>文本逻辑性：</w:t>
      </w:r>
      <w:r>
        <w:rPr>
          <w:rFonts w:hint="eastAsia" w:ascii="Times New Roman" w:hAnsi="Times New Roman" w:eastAsia="方正仿宋_GBK" w:cs="Times New Roman"/>
          <w:sz w:val="32"/>
          <w:szCs w:val="32"/>
        </w:rPr>
        <w:t>研究报告逻辑清晰，</w:t>
      </w:r>
      <w:r>
        <w:rPr>
          <w:rFonts w:ascii="Times New Roman" w:hAnsi="Times New Roman" w:eastAsia="方正仿宋_GBK" w:cs="Times New Roman"/>
          <w:sz w:val="32"/>
          <w:szCs w:val="32"/>
        </w:rPr>
        <w:t>结构严谨，语言通顺</w:t>
      </w:r>
      <w:r>
        <w:rPr>
          <w:rFonts w:hint="eastAsia" w:ascii="Times New Roman" w:hAnsi="Times New Roman" w:eastAsia="方正仿宋_GBK" w:cs="Times New Roman"/>
          <w:sz w:val="32"/>
          <w:szCs w:val="32"/>
        </w:rPr>
        <w:t>，占比10%</w:t>
      </w:r>
      <w:r>
        <w:rPr>
          <w:rFonts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 xml:space="preserve">6. </w:t>
      </w:r>
      <w:r>
        <w:rPr>
          <w:rFonts w:ascii="Times New Roman" w:hAnsi="Times New Roman" w:eastAsia="方正仿宋_GBK" w:cs="Times New Roman"/>
          <w:sz w:val="32"/>
          <w:szCs w:val="32"/>
        </w:rPr>
        <w:t>应用价值：参赛作品有实际商业价值或潜在商业前景，对</w:t>
      </w:r>
      <w:r>
        <w:rPr>
          <w:rFonts w:hint="eastAsia" w:ascii="Times New Roman" w:hAnsi="Times New Roman" w:eastAsia="方正仿宋_GBK" w:cs="Times New Roman"/>
          <w:sz w:val="32"/>
          <w:szCs w:val="32"/>
        </w:rPr>
        <w:t>湿法磷酸除杂技术发展有一定促进作用，</w:t>
      </w:r>
      <w:r>
        <w:rPr>
          <w:rFonts w:ascii="Times New Roman" w:hAnsi="Times New Roman" w:eastAsia="方正仿宋_GBK" w:cs="Times New Roman"/>
          <w:sz w:val="32"/>
          <w:szCs w:val="32"/>
        </w:rPr>
        <w:t>对企业</w:t>
      </w:r>
      <w:r>
        <w:rPr>
          <w:rFonts w:hint="eastAsia" w:eastAsia="方正仿宋_GBK" w:cs="Times New Roman"/>
          <w:sz w:val="32"/>
          <w:szCs w:val="32"/>
          <w:lang w:eastAsia="zh-CN"/>
        </w:rPr>
        <w:t>有</w:t>
      </w:r>
      <w:r>
        <w:rPr>
          <w:rFonts w:ascii="Times New Roman" w:hAnsi="Times New Roman" w:eastAsia="方正仿宋_GBK" w:cs="Times New Roman"/>
          <w:sz w:val="32"/>
          <w:szCs w:val="32"/>
        </w:rPr>
        <w:t>实际</w:t>
      </w:r>
      <w:r>
        <w:rPr>
          <w:rFonts w:hint="eastAsia" w:eastAsia="方正仿宋_GBK" w:cs="Times New Roman"/>
          <w:sz w:val="32"/>
          <w:szCs w:val="32"/>
          <w:lang w:eastAsia="zh-CN"/>
        </w:rPr>
        <w:t>的</w:t>
      </w:r>
      <w:r>
        <w:rPr>
          <w:rFonts w:ascii="Times New Roman" w:hAnsi="Times New Roman" w:eastAsia="方正仿宋_GBK" w:cs="Times New Roman"/>
          <w:sz w:val="32"/>
          <w:szCs w:val="32"/>
        </w:rPr>
        <w:t>应用价值，</w:t>
      </w:r>
      <w:r>
        <w:rPr>
          <w:rFonts w:hint="eastAsia" w:eastAsia="方正仿宋_GBK" w:cs="Times New Roman"/>
          <w:sz w:val="32"/>
          <w:szCs w:val="32"/>
          <w:lang w:eastAsia="zh-CN"/>
        </w:rPr>
        <w:t>有良好的</w:t>
      </w:r>
      <w:r>
        <w:rPr>
          <w:rFonts w:ascii="Times New Roman" w:hAnsi="Times New Roman" w:eastAsia="方正仿宋_GBK" w:cs="Times New Roman"/>
          <w:sz w:val="32"/>
          <w:szCs w:val="32"/>
        </w:rPr>
        <w:t>经济效益</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社会效益</w:t>
      </w:r>
      <w:r>
        <w:rPr>
          <w:rFonts w:hint="eastAsia" w:ascii="Times New Roman" w:hAnsi="Times New Roman" w:eastAsia="方正仿宋_GBK" w:cs="Times New Roman"/>
          <w:sz w:val="32"/>
          <w:szCs w:val="32"/>
        </w:rPr>
        <w:t>，占比2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cs="Times New Roman"/>
        </w:rPr>
      </w:pPr>
      <w:r>
        <w:rPr>
          <w:rFonts w:hint="eastAsia" w:eastAsia="方正仿宋_GBK" w:cs="Times New Roman"/>
          <w:sz w:val="32"/>
          <w:szCs w:val="32"/>
          <w:lang w:val="en-US" w:eastAsia="zh-CN"/>
        </w:rPr>
        <w:t xml:space="preserve">7. </w:t>
      </w:r>
      <w:r>
        <w:rPr>
          <w:rFonts w:ascii="Times New Roman" w:hAnsi="Times New Roman" w:eastAsia="方正仿宋_GBK" w:cs="Times New Roman"/>
          <w:sz w:val="32"/>
          <w:szCs w:val="32"/>
        </w:rPr>
        <w:t>其他：参赛者必须保证作品的原创性，杜绝一切抄袭或剽窃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参赛者应严格遵守国家知识产权保护的</w:t>
      </w:r>
      <w:r>
        <w:rPr>
          <w:rFonts w:hint="eastAsia" w:ascii="Times New Roman" w:hAnsi="Times New Roman" w:eastAsia="方正仿宋_GBK" w:cs="Times New Roman"/>
          <w:sz w:val="32"/>
          <w:szCs w:val="32"/>
        </w:rPr>
        <w:t>有关</w:t>
      </w:r>
      <w:r>
        <w:rPr>
          <w:rFonts w:ascii="Times New Roman" w:hAnsi="Times New Roman" w:eastAsia="方正仿宋_GBK" w:cs="Times New Roman"/>
          <w:sz w:val="32"/>
          <w:szCs w:val="32"/>
        </w:rPr>
        <w:t>规定，不得侵犯任何第三方的知识产权或其他权利，如引发知识产权纠纷，由参赛者负</w:t>
      </w:r>
      <w:r>
        <w:rPr>
          <w:rFonts w:hint="eastAsia" w:ascii="Times New Roman" w:hAnsi="Times New Roman" w:eastAsia="方正仿宋_GBK" w:cs="Times New Roman"/>
          <w:sz w:val="32"/>
          <w:szCs w:val="32"/>
        </w:rPr>
        <w:t>全责</w:t>
      </w:r>
      <w:r>
        <w:rPr>
          <w:rFonts w:ascii="Times New Roman" w:hAnsi="Times New Roman" w:eastAsia="方正仿宋_GBK" w:cs="Times New Roman"/>
          <w:sz w:val="32"/>
          <w:szCs w:val="32"/>
        </w:rPr>
        <w:t>。参赛作品提交的材料原则上不予退还，请参赛者自行保存底稿。作品已获得国际竞赛、国家级奖励和其他全国性竞赛获奖作品的，不在申报作品范围之列。</w:t>
      </w:r>
    </w:p>
    <w:p>
      <w:pPr>
        <w:pStyle w:val="3"/>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黑体_GBK"/>
          <w:color w:val="000000" w:themeColor="text1"/>
          <w:lang w:val="en-US" w:eastAsia="zh-CN"/>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七、作品提交时间</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月-2024年8月，各参赛团队选择榜单中的题目开展科研攻关。各高校“挑战杯”竞赛组织协调机构要积极组织学生参赛，安排有关老师给予指导，为参赛团队提供支持保障。2024年8月，组委会和出题方共同开展初审，确定入围终审的晋级作品和团队。</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2024年9月，每个选题晋级团队完善作品，各出题方安排专门团队提供帮助和指导，冲刺攻关参加终审和“擂台赛”。终审环节对榜单的每个选题原则上分别评出特等奖5个，一、二、三等奖若干。获得特等奖的团队晋级最终“擂台赛”，并进行现场展示和答辩，“擂台赛”环节对榜单的每个选题原则上评出1个“擂主”。出题方与“擂主”团队现场签约并给予奖励。</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2024年</w:t>
      </w:r>
      <w:r>
        <w:rPr>
          <w:rFonts w:eastAsia="方正仿宋_GBK"/>
          <w:color w:val="000000" w:themeColor="text1"/>
          <w:sz w:val="32"/>
          <w:szCs w:val="32"/>
          <w:lang w:val="en-US"/>
          <w14:textFill>
            <w14:solidFill>
              <w14:schemeClr w14:val="tx1"/>
            </w14:solidFill>
          </w14:textFill>
        </w:rPr>
        <w:t>8月</w:t>
      </w:r>
      <w:r>
        <w:rPr>
          <w:rFonts w:hint="eastAsia" w:eastAsia="方正仿宋_GBK"/>
          <w:color w:val="000000" w:themeColor="text1"/>
          <w:sz w:val="32"/>
          <w:szCs w:val="32"/>
          <w:lang w:val="en-US" w:eastAsia="zh-CN"/>
          <w14:textFill>
            <w14:solidFill>
              <w14:schemeClr w14:val="tx1"/>
            </w14:solidFill>
          </w14:textFill>
        </w:rPr>
        <w:t>12</w:t>
      </w:r>
      <w:r>
        <w:rPr>
          <w:rFonts w:eastAsia="方正仿宋_GBK"/>
          <w:color w:val="000000" w:themeColor="text1"/>
          <w:sz w:val="32"/>
          <w:szCs w:val="32"/>
          <w:lang w:val="en-US"/>
          <w14:textFill>
            <w14:solidFill>
              <w14:schemeClr w14:val="tx1"/>
            </w14:solidFill>
          </w14:textFill>
        </w:rPr>
        <w:t>日前，各参赛团队向组委会提交作品，具体提交要求详见作品提交方式。</w:t>
      </w:r>
    </w:p>
    <w:p>
      <w:pPr>
        <w:pStyle w:val="3"/>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黑体_GBK"/>
          <w:color w:val="000000" w:themeColor="text1"/>
          <w:lang w:val="en-US" w:eastAsia="zh-CN"/>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八、参赛报名及作品提交方式</w:t>
      </w:r>
    </w:p>
    <w:p>
      <w:pPr>
        <w:pStyle w:val="17"/>
        <w:pageBreakBefore w:val="0"/>
        <w:widowControl/>
        <w:kinsoku/>
        <w:wordWrap/>
        <w:overflowPunct/>
        <w:topLinePunct w:val="0"/>
        <w:autoSpaceDE/>
        <w:autoSpaceDN/>
        <w:bidi w:val="0"/>
        <w:adjustRightInd/>
        <w:snapToGrid/>
        <w:spacing w:line="560" w:lineRule="exact"/>
        <w:ind w:left="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_GBK" w:cs="Times New Roman"/>
          <w:color w:val="000000" w:themeColor="text1"/>
          <w:sz w:val="32"/>
          <w:szCs w:val="32"/>
          <w:lang w:val="en-GB" w:eastAsia="zh-CN" w:bidi="ar-SA"/>
          <w14:textFill>
            <w14:solidFill>
              <w14:schemeClr w14:val="tx1"/>
            </w14:solidFill>
          </w14:textFill>
        </w:rPr>
      </w:pPr>
      <w:r>
        <w:rPr>
          <w:rFonts w:ascii="Times New Roman" w:hAnsi="Times New Roman" w:eastAsia="方正楷体_GBK" w:cs="Times New Roman"/>
          <w:color w:val="000000" w:themeColor="text1"/>
          <w:sz w:val="32"/>
          <w:szCs w:val="32"/>
          <w:lang w:val="en-GB" w:eastAsia="zh-CN" w:bidi="ar-SA"/>
          <w14:textFill>
            <w14:solidFill>
              <w14:schemeClr w14:val="tx1"/>
            </w14:solidFill>
          </w14:textFill>
        </w:rPr>
        <w:t>2. 具体作品提交方式</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电子版</w:t>
      </w:r>
      <w:r>
        <w:rPr>
          <w:rFonts w:hint="eastAsia" w:ascii="Times New Roman" w:hAnsi="Times New Roman" w:eastAsia="方正仿宋_GBK" w:cs="Times New Roman"/>
          <w:sz w:val="32"/>
          <w:szCs w:val="32"/>
        </w:rPr>
        <w:t>提交方式：作品电子版需</w:t>
      </w:r>
      <w:r>
        <w:rPr>
          <w:rFonts w:ascii="Times New Roman" w:hAnsi="Times New Roman" w:eastAsia="方正仿宋_GBK" w:cs="Times New Roman"/>
          <w:sz w:val="32"/>
          <w:szCs w:val="32"/>
        </w:rPr>
        <w:t>于</w:t>
      </w: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12</w:t>
      </w:r>
      <w:r>
        <w:rPr>
          <w:rFonts w:ascii="Times New Roman" w:hAnsi="Times New Roman" w:eastAsia="方正仿宋_GBK" w:cs="Times New Roman"/>
          <w:sz w:val="32"/>
          <w:szCs w:val="32"/>
        </w:rPr>
        <w:t>日前通过互联网邮箱发送至企业比赛专班，联系人</w:t>
      </w:r>
      <w:r>
        <w:rPr>
          <w:rFonts w:hint="eastAsia" w:ascii="Times New Roman" w:hAnsi="Times New Roman" w:eastAsia="方正仿宋_GBK" w:cs="Times New Roman"/>
          <w:sz w:val="32"/>
          <w:szCs w:val="32"/>
          <w:lang w:eastAsia="zh-CN"/>
        </w:rPr>
        <w:t>田</w:t>
      </w:r>
      <w:r>
        <w:rPr>
          <w:rFonts w:ascii="Times New Roman" w:hAnsi="Times New Roman" w:eastAsia="方正仿宋_GBK" w:cs="Times New Roman"/>
          <w:sz w:val="32"/>
          <w:szCs w:val="32"/>
        </w:rPr>
        <w:t>老师，电子邮箱</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798645462@qq.com</w:t>
      </w:r>
      <w:r>
        <w:rPr>
          <w:rFonts w:ascii="Times New Roman" w:hAnsi="Times New Roman" w:eastAsia="方正仿宋_GBK" w:cs="Times New Roman"/>
          <w:sz w:val="32"/>
          <w:szCs w:val="32"/>
        </w:rPr>
        <w:t>。作品文件夹命名方式: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XX学校+XX学院+</w:t>
      </w:r>
      <w:r>
        <w:rPr>
          <w:rFonts w:hint="eastAsia" w:eastAsia="方正仿宋_GBK" w:cs="Times New Roman"/>
          <w:sz w:val="32"/>
          <w:szCs w:val="32"/>
          <w:lang w:eastAsia="zh-CN"/>
        </w:rPr>
        <w:t>选题名称</w:t>
      </w:r>
      <w:r>
        <w:rPr>
          <w:rFonts w:hint="eastAsia" w:ascii="Times New Roman" w:hAnsi="Times New Roman" w:eastAsia="方正仿宋_GBK" w:cs="Times New Roman"/>
          <w:sz w:val="32"/>
          <w:szCs w:val="32"/>
        </w:rPr>
        <w:t>+</w:t>
      </w:r>
      <w:r>
        <w:rPr>
          <w:rFonts w:hint="eastAsia" w:eastAsia="方正仿宋_GBK" w:cs="Times New Roman"/>
          <w:sz w:val="32"/>
          <w:szCs w:val="32"/>
          <w:lang w:eastAsia="zh-CN"/>
        </w:rPr>
        <w:t>作品名称</w:t>
      </w:r>
      <w:r>
        <w:rPr>
          <w:rFonts w:hint="eastAsia" w:eastAsia="方正仿宋_GBK" w:cs="Times New Roman"/>
          <w:sz w:val="32"/>
          <w:szCs w:val="32"/>
          <w:lang w:val="en-US" w:eastAsia="zh-CN"/>
        </w:rPr>
        <w:t>+</w:t>
      </w:r>
      <w:r>
        <w:rPr>
          <w:rFonts w:ascii="Times New Roman" w:hAnsi="Times New Roman" w:eastAsia="方正仿宋_GBK" w:cs="Times New Roman"/>
          <w:sz w:val="32"/>
          <w:szCs w:val="32"/>
        </w:rPr>
        <w:t>联系人+联系方式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纸质版提交方式：纸质版原件（含加盖红章）1式2份邮寄到以下地址：</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贵州省贵阳市南明区市南路</w:t>
      </w:r>
      <w:r>
        <w:rPr>
          <w:rFonts w:ascii="Times New Roman" w:hAnsi="Times New Roman" w:eastAsia="方正仿宋_GBK" w:cs="Times New Roman"/>
          <w:sz w:val="32"/>
          <w:szCs w:val="32"/>
        </w:rPr>
        <w:t>57号</w:t>
      </w:r>
      <w:r>
        <w:rPr>
          <w:rFonts w:hint="eastAsia" w:ascii="Times New Roman" w:hAnsi="Times New Roman" w:eastAsia="方正仿宋_GBK" w:cs="Times New Roman"/>
          <w:sz w:val="32"/>
          <w:szCs w:val="32"/>
        </w:rPr>
        <w:t>贵州磷化（集团）有限责任公司</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田</w:t>
      </w:r>
      <w:r>
        <w:rPr>
          <w:rFonts w:ascii="Times New Roman" w:hAnsi="Times New Roman" w:eastAsia="方正仿宋_GBK" w:cs="Times New Roman"/>
          <w:sz w:val="32"/>
          <w:szCs w:val="32"/>
        </w:rPr>
        <w:t>老师</w:t>
      </w:r>
      <w:r>
        <w:rPr>
          <w:rFonts w:hint="eastAsia" w:eastAsia="方正仿宋_GBK" w:cs="Times New Roman"/>
          <w:sz w:val="32"/>
          <w:szCs w:val="32"/>
          <w:lang w:eastAsia="zh-CN"/>
        </w:rPr>
        <w:t>，</w:t>
      </w:r>
      <w:r>
        <w:rPr>
          <w:rFonts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15985146441。</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Style w:val="3"/>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黑体_GBK"/>
          <w:color w:val="000000" w:themeColor="text1"/>
          <w:lang w:val="en-US" w:eastAsia="zh-CN"/>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九、赛事保障</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技术文档支持：提供赛题相关的技术材料，</w:t>
      </w:r>
      <w:r>
        <w:rPr>
          <w:rFonts w:hint="eastAsia" w:eastAsia="方正仿宋_GBK" w:cs="Times New Roman"/>
          <w:sz w:val="32"/>
          <w:szCs w:val="32"/>
          <w:lang w:eastAsia="zh-CN"/>
        </w:rPr>
        <w:t>帮助</w:t>
      </w:r>
      <w:r>
        <w:rPr>
          <w:rFonts w:ascii="Times New Roman" w:hAnsi="Times New Roman" w:eastAsia="方正仿宋_GBK" w:cs="Times New Roman"/>
          <w:sz w:val="32"/>
          <w:szCs w:val="32"/>
        </w:rPr>
        <w:t>参赛选手学习相关技术，了解实践操作</w:t>
      </w:r>
      <w:r>
        <w:rPr>
          <w:rFonts w:hint="eastAsia"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cs="Times New Roman"/>
          <w:highlight w:val="yellow"/>
        </w:rPr>
      </w:pPr>
      <w:r>
        <w:rPr>
          <w:rFonts w:ascii="Times New Roman" w:hAnsi="Times New Roman" w:eastAsia="方正仿宋_GBK" w:cs="Times New Roman"/>
          <w:sz w:val="32"/>
          <w:szCs w:val="32"/>
          <w:highlight w:val="none"/>
        </w:rPr>
        <w:t>技术专家支持：</w:t>
      </w:r>
      <w:r>
        <w:rPr>
          <w:rFonts w:hint="eastAsia" w:ascii="Times New Roman" w:hAnsi="Times New Roman" w:eastAsia="方正仿宋_GBK" w:cs="Times New Roman"/>
          <w:sz w:val="32"/>
          <w:szCs w:val="32"/>
          <w:highlight w:val="none"/>
          <w:lang w:val="en-US" w:eastAsia="zh-CN"/>
        </w:rPr>
        <w:t>专家组由</w:t>
      </w:r>
      <w:r>
        <w:rPr>
          <w:rFonts w:hint="eastAsia" w:eastAsia="方正仿宋_GBK" w:cs="Times New Roman"/>
          <w:sz w:val="32"/>
          <w:szCs w:val="32"/>
          <w:highlight w:val="none"/>
          <w:lang w:val="en-US" w:eastAsia="zh-CN"/>
        </w:rPr>
        <w:t>贵州磷化（</w:t>
      </w:r>
      <w:r>
        <w:rPr>
          <w:rFonts w:hint="eastAsia" w:ascii="Times New Roman" w:hAnsi="Times New Roman" w:eastAsia="方正仿宋_GBK" w:cs="Times New Roman"/>
          <w:sz w:val="32"/>
          <w:szCs w:val="32"/>
          <w:highlight w:val="none"/>
          <w:lang w:val="en-US" w:eastAsia="zh-CN"/>
        </w:rPr>
        <w:t>集团</w:t>
      </w:r>
      <w:r>
        <w:rPr>
          <w:rFonts w:hint="eastAsia" w:eastAsia="方正仿宋_GBK" w:cs="Times New Roman"/>
          <w:sz w:val="32"/>
          <w:szCs w:val="32"/>
          <w:highlight w:val="none"/>
          <w:lang w:val="en-US" w:eastAsia="zh-CN"/>
        </w:rPr>
        <w:t>）有限责任公司</w:t>
      </w:r>
      <w:r>
        <w:rPr>
          <w:rFonts w:hint="eastAsia" w:ascii="Times New Roman" w:hAnsi="Times New Roman" w:eastAsia="方正仿宋_GBK" w:cs="Times New Roman"/>
          <w:sz w:val="32"/>
          <w:szCs w:val="32"/>
          <w:highlight w:val="none"/>
          <w:lang w:val="en-US" w:eastAsia="zh-CN"/>
        </w:rPr>
        <w:t>分管研发的副总经理牵头，包括了研发、生产领域资深专家（其中以教授级高工、高级工程师为主），</w:t>
      </w:r>
      <w:r>
        <w:rPr>
          <w:rFonts w:ascii="Times New Roman" w:hAnsi="Times New Roman" w:eastAsia="方正仿宋_GBK" w:cs="Times New Roman"/>
          <w:sz w:val="32"/>
          <w:szCs w:val="32"/>
          <w:highlight w:val="none"/>
        </w:rPr>
        <w:t>为参赛学生提供专业的技术</w:t>
      </w:r>
      <w:r>
        <w:rPr>
          <w:rFonts w:hint="eastAsia" w:ascii="Times New Roman" w:hAnsi="Times New Roman" w:eastAsia="方正仿宋_GBK" w:cs="Times New Roman"/>
          <w:sz w:val="32"/>
          <w:szCs w:val="32"/>
          <w:highlight w:val="none"/>
          <w:lang w:val="en-US" w:eastAsia="zh-CN"/>
        </w:rPr>
        <w:t>支持</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为参赛学生到公司开展实验研究提供支持，</w:t>
      </w:r>
      <w:r>
        <w:rPr>
          <w:rFonts w:ascii="Times New Roman" w:hAnsi="Times New Roman" w:eastAsia="方正仿宋_GBK" w:cs="Times New Roman"/>
          <w:sz w:val="32"/>
          <w:szCs w:val="32"/>
          <w:highlight w:val="none"/>
        </w:rPr>
        <w:t>解答遇到的技术问题。</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赛事办公室设在</w:t>
      </w:r>
      <w:r>
        <w:rPr>
          <w:rFonts w:hint="eastAsia" w:eastAsia="方正仿宋_GBK"/>
          <w:color w:val="000000" w:themeColor="text1"/>
          <w:sz w:val="32"/>
          <w:szCs w:val="32"/>
          <w:lang w:val="en-US" w:eastAsia="zh-CN"/>
          <w14:textFill>
            <w14:solidFill>
              <w14:schemeClr w14:val="tx1"/>
            </w14:solidFill>
          </w14:textFill>
        </w:rPr>
        <w:t>贵州磷化（集团）有限责任公司</w:t>
      </w:r>
      <w:r>
        <w:rPr>
          <w:rFonts w:eastAsia="方正仿宋_GBK"/>
          <w:color w:val="000000" w:themeColor="text1"/>
          <w:sz w:val="32"/>
          <w:szCs w:val="32"/>
          <w:lang w:val="en-US"/>
          <w14:textFill>
            <w14:solidFill>
              <w14:schemeClr w14:val="tx1"/>
            </w14:solidFill>
          </w14:textFill>
        </w:rPr>
        <w:t>团委，参赛过程中，参赛团队如需本单位提供与项目相关的其他必须帮助，请提前与赛事办公室联系，我们将在许可范围内给予参赛团队帮助。</w:t>
      </w:r>
    </w:p>
    <w:p>
      <w:pPr>
        <w:pStyle w:val="3"/>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黑体_GBK"/>
          <w:color w:val="000000" w:themeColor="text1"/>
          <w:lang w:val="en-US" w:eastAsia="zh-CN"/>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十、设奖情况及奖励措施</w:t>
      </w:r>
    </w:p>
    <w:p>
      <w:pPr>
        <w:pStyle w:val="4"/>
        <w:pageBreakBefore w:val="0"/>
        <w:widowControl/>
        <w:numPr>
          <w:ilvl w:val="0"/>
          <w:numId w:val="0"/>
        </w:numPr>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eastAsia="zh-CN"/>
          <w14:textFill>
            <w14:solidFill>
              <w14:schemeClr w14:val="tx1"/>
            </w14:solidFill>
          </w14:textFill>
        </w:rPr>
        <w:t>1.</w:t>
      </w:r>
      <w:r>
        <w:rPr>
          <w:rFonts w:ascii="Times New Roman" w:hAnsi="Times New Roman" w:eastAsia="方正楷体_GBK"/>
          <w:color w:val="000000" w:themeColor="text1"/>
          <w:lang w:val="en-US"/>
          <w14:textFill>
            <w14:solidFill>
              <w14:schemeClr w14:val="tx1"/>
            </w14:solidFill>
          </w14:textFill>
        </w:rPr>
        <w:t>设奖情况</w:t>
      </w:r>
    </w:p>
    <w:p>
      <w:pPr>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设特等奖5个，一、二、三等奖</w:t>
      </w:r>
      <w:r>
        <w:rPr>
          <w:rFonts w:hint="eastAsia" w:eastAsia="方正仿宋_GBK"/>
          <w:color w:val="000000" w:themeColor="text1"/>
          <w:sz w:val="32"/>
          <w:szCs w:val="32"/>
          <w:lang w:val="en-US" w:eastAsia="zh-CN"/>
          <w14:textFill>
            <w14:solidFill>
              <w14:schemeClr w14:val="tx1"/>
            </w14:solidFill>
          </w14:textFill>
        </w:rPr>
        <w:t>各5个</w:t>
      </w:r>
      <w:r>
        <w:rPr>
          <w:rFonts w:eastAsia="方正仿宋_GBK"/>
          <w:color w:val="000000" w:themeColor="text1"/>
          <w:sz w:val="32"/>
          <w:szCs w:val="32"/>
          <w:lang w:val="en-US"/>
          <w14:textFill>
            <w14:solidFill>
              <w14:schemeClr w14:val="tx1"/>
            </w14:solidFill>
          </w14:textFill>
        </w:rPr>
        <w:t>，从特等奖获奖团队中决出1个</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w:t>
      </w:r>
    </w:p>
    <w:p>
      <w:pPr>
        <w:pStyle w:val="4"/>
        <w:pageBreakBefore w:val="0"/>
        <w:widowControl/>
        <w:numPr>
          <w:ilvl w:val="0"/>
          <w:numId w:val="0"/>
        </w:numPr>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eastAsia="zh-CN"/>
          <w14:textFill>
            <w14:solidFill>
              <w14:schemeClr w14:val="tx1"/>
            </w14:solidFill>
          </w14:textFill>
        </w:rPr>
        <w:t>2.</w:t>
      </w:r>
      <w:r>
        <w:rPr>
          <w:rFonts w:ascii="Times New Roman" w:hAnsi="Times New Roman" w:eastAsia="方正楷体_GBK"/>
          <w:color w:val="000000" w:themeColor="text1"/>
          <w:lang w:val="en-US"/>
          <w14:textFill>
            <w14:solidFill>
              <w14:schemeClr w14:val="tx1"/>
            </w14:solidFill>
          </w14:textFill>
        </w:rPr>
        <w:t>奖励措施</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1</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rPr>
        <w:t>奖金</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eastAsia="zh-CN"/>
        </w:rPr>
        <w:t>“</w:t>
      </w:r>
      <w:r>
        <w:rPr>
          <w:rFonts w:ascii="Times New Roman" w:hAnsi="Times New Roman" w:eastAsia="方正仿宋_GBK" w:cs="Times New Roman"/>
          <w:sz w:val="32"/>
          <w:szCs w:val="32"/>
          <w:highlight w:val="none"/>
        </w:rPr>
        <w:t>擂主</w:t>
      </w:r>
      <w:r>
        <w:rPr>
          <w:rFonts w:hint="eastAsia" w:eastAsia="方正仿宋_GBK" w:cs="Times New Roman"/>
          <w:sz w:val="32"/>
          <w:szCs w:val="32"/>
          <w:highlight w:val="none"/>
          <w:lang w:eastAsia="zh-CN"/>
        </w:rPr>
        <w:t>”</w:t>
      </w:r>
      <w:r>
        <w:rPr>
          <w:rFonts w:ascii="Times New Roman" w:hAnsi="Times New Roman" w:eastAsia="方正仿宋_GBK" w:cs="Times New Roman"/>
          <w:sz w:val="32"/>
          <w:szCs w:val="32"/>
          <w:highlight w:val="none"/>
        </w:rPr>
        <w:t>奖金</w:t>
      </w:r>
      <w:r>
        <w:rPr>
          <w:rFonts w:hint="eastAsia" w:ascii="Times New Roman" w:hAnsi="Times New Roman" w:eastAsia="方正仿宋_GBK" w:cs="Times New Roman"/>
          <w:sz w:val="32"/>
          <w:szCs w:val="32"/>
          <w:highlight w:val="none"/>
          <w:lang w:val="en-US" w:eastAsia="zh-CN"/>
        </w:rPr>
        <w:t>10</w:t>
      </w:r>
      <w:r>
        <w:rPr>
          <w:rFonts w:ascii="Times New Roman" w:hAnsi="Times New Roman" w:eastAsia="方正仿宋_GBK" w:cs="Times New Roman"/>
          <w:sz w:val="32"/>
          <w:szCs w:val="32"/>
          <w:highlight w:val="none"/>
        </w:rPr>
        <w:t>万元</w:t>
      </w:r>
      <w:r>
        <w:rPr>
          <w:rFonts w:hint="eastAsia" w:eastAsia="方正仿宋_GBK" w:cs="Times New Roman"/>
          <w:sz w:val="32"/>
          <w:szCs w:val="32"/>
          <w:highlight w:val="none"/>
          <w:lang w:val="en-US" w:eastAsia="zh-CN"/>
        </w:rPr>
        <w:t>/队</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特等奖</w:t>
      </w:r>
      <w:r>
        <w:rPr>
          <w:rFonts w:hint="eastAsia" w:eastAsia="方正仿宋_GBK" w:cs="Times New Roman"/>
          <w:sz w:val="32"/>
          <w:szCs w:val="32"/>
          <w:highlight w:val="none"/>
          <w:lang w:eastAsia="zh-CN"/>
        </w:rPr>
        <w:t>（不含擂主）</w:t>
      </w:r>
      <w:r>
        <w:rPr>
          <w:rFonts w:ascii="Times New Roman" w:hAnsi="Times New Roman" w:eastAsia="方正仿宋_GBK" w:cs="Times New Roman"/>
          <w:sz w:val="32"/>
          <w:szCs w:val="32"/>
          <w:highlight w:val="none"/>
        </w:rPr>
        <w:t>奖金</w:t>
      </w:r>
      <w:r>
        <w:rPr>
          <w:rFonts w:hint="eastAsia" w:ascii="Times New Roman" w:hAnsi="Times New Roman" w:eastAsia="方正仿宋_GBK" w:cs="Times New Roman"/>
          <w:sz w:val="32"/>
          <w:szCs w:val="32"/>
          <w:highlight w:val="none"/>
          <w:lang w:val="en-US" w:eastAsia="zh-CN"/>
        </w:rPr>
        <w:t>5</w:t>
      </w:r>
      <w:r>
        <w:rPr>
          <w:rFonts w:ascii="Times New Roman" w:hAnsi="Times New Roman" w:eastAsia="方正仿宋_GBK" w:cs="Times New Roman"/>
          <w:sz w:val="32"/>
          <w:szCs w:val="32"/>
          <w:highlight w:val="none"/>
        </w:rPr>
        <w:t>万元</w:t>
      </w:r>
      <w:r>
        <w:rPr>
          <w:rFonts w:hint="eastAsia" w:eastAsia="方正仿宋_GBK" w:cs="Times New Roman"/>
          <w:sz w:val="32"/>
          <w:szCs w:val="32"/>
          <w:highlight w:val="none"/>
          <w:lang w:val="en-US" w:eastAsia="zh-CN"/>
        </w:rPr>
        <w:t>/队</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一等奖奖金</w:t>
      </w:r>
      <w:r>
        <w:rPr>
          <w:rFonts w:hint="eastAsia" w:ascii="Times New Roman" w:hAnsi="Times New Roman" w:eastAsia="方正仿宋_GBK" w:cs="Times New Roman"/>
          <w:sz w:val="32"/>
          <w:szCs w:val="32"/>
          <w:highlight w:val="none"/>
          <w:lang w:val="en-US" w:eastAsia="zh-CN"/>
        </w:rPr>
        <w:t>3</w:t>
      </w:r>
      <w:r>
        <w:rPr>
          <w:rFonts w:ascii="Times New Roman" w:hAnsi="Times New Roman" w:eastAsia="方正仿宋_GBK" w:cs="Times New Roman"/>
          <w:sz w:val="32"/>
          <w:szCs w:val="32"/>
          <w:highlight w:val="none"/>
        </w:rPr>
        <w:t>万元</w:t>
      </w:r>
      <w:r>
        <w:rPr>
          <w:rFonts w:hint="eastAsia" w:eastAsia="方正仿宋_GBK" w:cs="Times New Roman"/>
          <w:sz w:val="32"/>
          <w:szCs w:val="32"/>
          <w:highlight w:val="none"/>
          <w:lang w:val="en-US" w:eastAsia="zh-CN"/>
        </w:rPr>
        <w:t>/队</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二等奖奖金</w:t>
      </w:r>
      <w:r>
        <w:rPr>
          <w:rFonts w:hint="eastAsia" w:ascii="Times New Roman" w:hAnsi="Times New Roman" w:eastAsia="方正仿宋_GBK" w:cs="Times New Roman"/>
          <w:sz w:val="32"/>
          <w:szCs w:val="32"/>
          <w:highlight w:val="none"/>
          <w:lang w:val="en-US" w:eastAsia="zh-CN"/>
        </w:rPr>
        <w:t>1</w:t>
      </w:r>
      <w:r>
        <w:rPr>
          <w:rFonts w:ascii="Times New Roman" w:hAnsi="Times New Roman" w:eastAsia="方正仿宋_GBK" w:cs="Times New Roman"/>
          <w:sz w:val="32"/>
          <w:szCs w:val="32"/>
          <w:highlight w:val="none"/>
        </w:rPr>
        <w:t>万元</w:t>
      </w:r>
      <w:r>
        <w:rPr>
          <w:rFonts w:hint="eastAsia" w:eastAsia="方正仿宋_GBK" w:cs="Times New Roman"/>
          <w:sz w:val="32"/>
          <w:szCs w:val="32"/>
          <w:highlight w:val="none"/>
          <w:lang w:val="en-US" w:eastAsia="zh-CN"/>
        </w:rPr>
        <w:t>/队</w:t>
      </w:r>
      <w:r>
        <w:rPr>
          <w:rFonts w:ascii="Times New Roman" w:hAnsi="Times New Roman" w:eastAsia="方正仿宋_GBK" w:cs="Times New Roman"/>
          <w:sz w:val="32"/>
          <w:szCs w:val="32"/>
          <w:highlight w:val="none"/>
        </w:rPr>
        <w:t>；三等奖奖金</w:t>
      </w:r>
      <w:r>
        <w:rPr>
          <w:rFonts w:hint="eastAsia" w:eastAsia="方正仿宋_GBK" w:cs="Times New Roman"/>
          <w:sz w:val="32"/>
          <w:szCs w:val="32"/>
          <w:highlight w:val="none"/>
          <w:lang w:val="en-US" w:eastAsia="zh-CN"/>
        </w:rPr>
        <w:t>5000</w:t>
      </w:r>
      <w:r>
        <w:rPr>
          <w:rFonts w:ascii="Times New Roman" w:hAnsi="Times New Roman" w:eastAsia="方正仿宋_GBK" w:cs="Times New Roman"/>
          <w:sz w:val="32"/>
          <w:szCs w:val="32"/>
          <w:highlight w:val="none"/>
        </w:rPr>
        <w:t>元</w:t>
      </w:r>
      <w:r>
        <w:rPr>
          <w:rFonts w:hint="eastAsia" w:eastAsia="方正仿宋_GBK" w:cs="Times New Roman"/>
          <w:sz w:val="32"/>
          <w:szCs w:val="32"/>
          <w:highlight w:val="none"/>
          <w:lang w:val="en-US" w:eastAsia="zh-CN"/>
        </w:rPr>
        <w:t>/队</w:t>
      </w:r>
      <w:r>
        <w:rPr>
          <w:rFonts w:hint="eastAsia" w:ascii="Times New Roman" w:hAnsi="Times New Roman" w:eastAsia="方正仿宋_GBK" w:cs="Times New Roman"/>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highlight w:val="none"/>
        </w:rPr>
      </w:pPr>
      <w:r>
        <w:rPr>
          <w:rFonts w:hint="eastAsia" w:eastAsia="方正仿宋_GBK" w:cs="Times New Roman"/>
          <w:sz w:val="32"/>
          <w:szCs w:val="32"/>
          <w:highlight w:val="none"/>
          <w:lang w:eastAsia="zh-CN"/>
        </w:rPr>
        <w:t>（</w:t>
      </w:r>
      <w:r>
        <w:rPr>
          <w:rFonts w:hint="eastAsia"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rPr>
        <w:t>奖金发放方式</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比赛结束后，企业比赛专班工作人员与获奖团队取得联系，填写奖金申请表。待获奖团队提供银行卡详细信息后</w:t>
      </w:r>
      <w:r>
        <w:rPr>
          <w:rFonts w:hint="eastAsia" w:ascii="Times New Roman" w:hAnsi="Times New Roman" w:eastAsia="方正仿宋_GBK" w:cs="Times New Roman"/>
          <w:sz w:val="32"/>
          <w:szCs w:val="32"/>
        </w:rPr>
        <w:t>两</w:t>
      </w:r>
      <w:r>
        <w:rPr>
          <w:rFonts w:ascii="Times New Roman" w:hAnsi="Times New Roman" w:eastAsia="方正仿宋_GBK" w:cs="Times New Roman"/>
          <w:sz w:val="32"/>
          <w:szCs w:val="32"/>
        </w:rPr>
        <w:t>个月内，企业以转账方式将奖金一次性发放至获奖团队提供的银行卡中。</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rPr>
        <w:t>实习和工作机会</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揭榜本选题并获得名次（奖项）的团队</w:t>
      </w:r>
      <w:r>
        <w:rPr>
          <w:rFonts w:hint="eastAsia" w:eastAsia="方正仿宋_GBK" w:cs="Times New Roman"/>
          <w:sz w:val="32"/>
          <w:szCs w:val="32"/>
          <w:lang w:eastAsia="zh-CN"/>
        </w:rPr>
        <w:t>，有意愿到企业实习的，可与赛事服务团队联系进行协调</w:t>
      </w:r>
      <w:r>
        <w:rPr>
          <w:rFonts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揭榜本选题并获得特等奖的团队</w:t>
      </w:r>
      <w:r>
        <w:rPr>
          <w:rFonts w:hint="eastAsia" w:ascii="Times New Roman" w:hAnsi="Times New Roman" w:eastAsia="方正仿宋_GBK" w:cs="Times New Roman"/>
          <w:sz w:val="32"/>
          <w:szCs w:val="32"/>
        </w:rPr>
        <w:t>成员有</w:t>
      </w:r>
      <w:r>
        <w:rPr>
          <w:rFonts w:hint="eastAsia" w:eastAsia="方正仿宋_GBK"/>
          <w:sz w:val="32"/>
          <w:szCs w:val="32"/>
        </w:rPr>
        <w:t>意愿到公司工作的</w:t>
      </w:r>
      <w:r>
        <w:rPr>
          <w:rFonts w:hint="eastAsia" w:eastAsia="方正仿宋_GBK"/>
          <w:sz w:val="32"/>
          <w:szCs w:val="32"/>
          <w:lang w:eastAsia="zh-CN"/>
        </w:rPr>
        <w:t>，可提供生产、研发相关岗位，在企业开展招聘时</w:t>
      </w:r>
      <w:r>
        <w:rPr>
          <w:rFonts w:hint="eastAsia" w:eastAsia="方正仿宋_GBK"/>
          <w:sz w:val="32"/>
          <w:szCs w:val="32"/>
        </w:rPr>
        <w:t>可优先录用</w:t>
      </w:r>
      <w:r>
        <w:rPr>
          <w:rFonts w:ascii="Times New Roman" w:hAnsi="Times New Roman" w:eastAsia="方正仿宋_GBK" w:cs="Times New Roman"/>
          <w:sz w:val="32"/>
          <w:szCs w:val="32"/>
        </w:rPr>
        <w:t>。</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4）</w:t>
      </w:r>
      <w:r>
        <w:rPr>
          <w:rFonts w:hint="eastAsia" w:ascii="Times New Roman" w:hAnsi="Times New Roman" w:eastAsia="方正仿宋_GBK" w:cs="Times New Roman"/>
          <w:sz w:val="32"/>
          <w:szCs w:val="32"/>
        </w:rPr>
        <w:t>成果转让</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如企业判定研究成果可直接支撑企业相关工作，根据参赛团队意愿，可与企业签订成果转让协议，成果转让金额由企业和参赛团队协商确定，成果转让后，参赛团队研究成果归企业所有，参赛团队不能将转让后的成果用于其它商业活动。</w:t>
      </w:r>
    </w:p>
    <w:p>
      <w:pPr>
        <w:pStyle w:val="3"/>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eastAsia="zh-CN"/>
          <w14:textFill>
            <w14:solidFill>
              <w14:schemeClr w14:val="tx1"/>
            </w14:solidFill>
          </w14:textFill>
        </w:rPr>
        <w:t>十一、</w:t>
      </w:r>
      <w:r>
        <w:rPr>
          <w:rFonts w:ascii="Times New Roman" w:hAnsi="Times New Roman" w:eastAsia="方正黑体_GBK"/>
          <w:color w:val="000000" w:themeColor="text1"/>
          <w:lang w:val="en-US"/>
          <w14:textFill>
            <w14:solidFill>
              <w14:schemeClr w14:val="tx1"/>
            </w14:solidFill>
          </w14:textFill>
        </w:rPr>
        <w:t>比赛专班联系方式</w:t>
      </w:r>
    </w:p>
    <w:p>
      <w:pPr>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为积极推进该赛事，</w:t>
      </w:r>
      <w:bookmarkStart w:id="0" w:name="_Hlk160396186"/>
      <w:r>
        <w:rPr>
          <w:rFonts w:hint="eastAsia" w:ascii="Times New Roman" w:hAnsi="Times New Roman" w:eastAsia="方正仿宋_GBK" w:cs="Times New Roman"/>
          <w:sz w:val="32"/>
          <w:szCs w:val="32"/>
        </w:rPr>
        <w:t>贵州磷化（集团）有限责任公司</w:t>
      </w:r>
      <w:bookmarkEnd w:id="0"/>
      <w:r>
        <w:rPr>
          <w:rFonts w:ascii="Times New Roman" w:hAnsi="Times New Roman" w:eastAsia="方正仿宋_GBK" w:cs="Times New Roman"/>
          <w:sz w:val="32"/>
          <w:szCs w:val="32"/>
        </w:rPr>
        <w:t>特别成立比赛专班，在比赛过程中将根据实际需要继续邀请内外部专家加入专家组。</w:t>
      </w:r>
    </w:p>
    <w:p>
      <w:pPr>
        <w:pStyle w:val="4"/>
        <w:pageBreakBefore w:val="0"/>
        <w:widowControl/>
        <w:numPr>
          <w:ilvl w:val="0"/>
          <w:numId w:val="0"/>
        </w:numPr>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eastAsia="zh-CN"/>
          <w14:textFill>
            <w14:solidFill>
              <w14:schemeClr w14:val="tx1"/>
            </w14:solidFill>
          </w14:textFill>
        </w:rPr>
        <w:t>1.</w:t>
      </w:r>
      <w:r>
        <w:rPr>
          <w:rFonts w:ascii="Times New Roman" w:hAnsi="Times New Roman" w:eastAsia="方正楷体_GBK"/>
          <w:color w:val="000000" w:themeColor="text1"/>
          <w:lang w:val="en-US"/>
          <w14:textFill>
            <w14:solidFill>
              <w14:schemeClr w14:val="tx1"/>
            </w14:solidFill>
          </w14:textFill>
        </w:rPr>
        <w:t>专家指导团队</w:t>
      </w:r>
    </w:p>
    <w:p>
      <w:pPr>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eastAsia="zh-CN"/>
        </w:rPr>
        <w:t>联络专员：</w:t>
      </w:r>
      <w:r>
        <w:rPr>
          <w:rFonts w:hint="eastAsia" w:ascii="Times New Roman" w:hAnsi="Times New Roman" w:eastAsia="方正仿宋_GBK" w:cs="Times New Roman"/>
          <w:sz w:val="32"/>
          <w:szCs w:val="32"/>
          <w:lang w:eastAsia="zh-CN"/>
        </w:rPr>
        <w:t>张老师</w:t>
      </w:r>
      <w:r>
        <w:rPr>
          <w:rFonts w:hint="eastAsia" w:eastAsia="方正仿宋_GBK" w:cs="Times New Roman"/>
          <w:sz w:val="32"/>
          <w:szCs w:val="32"/>
          <w:lang w:eastAsia="zh-CN"/>
        </w:rPr>
        <w:t>，</w:t>
      </w:r>
      <w:r>
        <w:rPr>
          <w:rFonts w:ascii="Times New Roman" w:hAnsi="Times New Roman" w:eastAsia="方正仿宋_GBK" w:cs="Times New Roman"/>
          <w:sz w:val="32"/>
          <w:szCs w:val="32"/>
        </w:rPr>
        <w:t>联系方式：</w:t>
      </w:r>
      <w:r>
        <w:rPr>
          <w:rFonts w:hint="eastAsia" w:ascii="Times New Roman" w:hAnsi="Times New Roman" w:eastAsia="方正仿宋_GBK" w:cs="Times New Roman"/>
          <w:sz w:val="32"/>
          <w:szCs w:val="32"/>
          <w:lang w:val="en-US" w:eastAsia="zh-CN"/>
        </w:rPr>
        <w:t>13212347353</w:t>
      </w:r>
    </w:p>
    <w:p>
      <w:pPr>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eastAsia="zh-CN"/>
        </w:rPr>
        <w:t>联络专员：</w:t>
      </w:r>
      <w:r>
        <w:rPr>
          <w:rFonts w:hint="eastAsia" w:eastAsia="方正仿宋_GBK" w:cs="Times New Roman"/>
          <w:sz w:val="32"/>
          <w:szCs w:val="32"/>
          <w:lang w:val="en-US" w:eastAsia="zh-CN"/>
        </w:rPr>
        <w:t>石</w:t>
      </w:r>
      <w:r>
        <w:rPr>
          <w:rFonts w:ascii="Times New Roman" w:hAnsi="Times New Roman" w:eastAsia="方正仿宋_GBK" w:cs="Times New Roman"/>
          <w:sz w:val="32"/>
          <w:szCs w:val="32"/>
        </w:rPr>
        <w:t>老师</w:t>
      </w:r>
      <w:r>
        <w:rPr>
          <w:rFonts w:hint="eastAsia" w:eastAsia="方正仿宋_GBK" w:cs="Times New Roman"/>
          <w:sz w:val="32"/>
          <w:szCs w:val="32"/>
          <w:lang w:eastAsia="zh-CN"/>
        </w:rPr>
        <w:t>，</w:t>
      </w:r>
      <w:r>
        <w:rPr>
          <w:rFonts w:ascii="Times New Roman" w:hAnsi="Times New Roman" w:eastAsia="方正仿宋_GBK" w:cs="Times New Roman"/>
          <w:sz w:val="32"/>
          <w:szCs w:val="32"/>
        </w:rPr>
        <w:t>联系方式：</w:t>
      </w:r>
      <w:r>
        <w:rPr>
          <w:rFonts w:hint="eastAsia" w:ascii="Times New Roman" w:hAnsi="Times New Roman" w:eastAsia="方正仿宋_GBK" w:cs="Times New Roman"/>
          <w:sz w:val="32"/>
          <w:szCs w:val="32"/>
          <w:lang w:val="en-US" w:eastAsia="zh-CN"/>
        </w:rPr>
        <w:t>15086160590</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楷体_GBK"/>
          <w:color w:val="000000" w:themeColor="text1"/>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widowControl/>
        <w:numPr>
          <w:ilvl w:val="0"/>
          <w:numId w:val="0"/>
        </w:numPr>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eastAsia="zh-CN"/>
          <w14:textFill>
            <w14:solidFill>
              <w14:schemeClr w14:val="tx1"/>
            </w14:solidFill>
          </w14:textFill>
        </w:rPr>
        <w:t>2.</w:t>
      </w:r>
      <w:r>
        <w:rPr>
          <w:rFonts w:ascii="Times New Roman" w:hAnsi="Times New Roman" w:eastAsia="方正楷体_GBK"/>
          <w:color w:val="000000" w:themeColor="text1"/>
          <w:lang w:val="en-US"/>
          <w14:textFill>
            <w14:solidFill>
              <w14:schemeClr w14:val="tx1"/>
            </w14:solidFill>
          </w14:textFill>
        </w:rPr>
        <w:t>赛事服务团队</w:t>
      </w:r>
    </w:p>
    <w:p>
      <w:pPr>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eastAsia="zh-CN"/>
        </w:rPr>
        <w:t>联络专员：</w:t>
      </w:r>
      <w:r>
        <w:rPr>
          <w:rFonts w:hint="eastAsia" w:ascii="Times New Roman" w:hAnsi="Times New Roman" w:eastAsia="方正仿宋_GBK" w:cs="Times New Roman"/>
          <w:sz w:val="32"/>
          <w:szCs w:val="32"/>
          <w:lang w:eastAsia="zh-CN"/>
        </w:rPr>
        <w:t>田</w:t>
      </w:r>
      <w:r>
        <w:rPr>
          <w:rFonts w:ascii="Times New Roman" w:hAnsi="Times New Roman" w:eastAsia="方正仿宋_GBK" w:cs="Times New Roman"/>
          <w:sz w:val="32"/>
          <w:szCs w:val="32"/>
        </w:rPr>
        <w:t>老师</w:t>
      </w:r>
      <w:r>
        <w:rPr>
          <w:rFonts w:hint="eastAsia" w:eastAsia="方正仿宋_GBK" w:cs="Times New Roman"/>
          <w:sz w:val="32"/>
          <w:szCs w:val="32"/>
          <w:lang w:eastAsia="zh-CN"/>
        </w:rPr>
        <w:t>，</w:t>
      </w:r>
      <w:r>
        <w:rPr>
          <w:rFonts w:ascii="Times New Roman" w:hAnsi="Times New Roman" w:eastAsia="方正仿宋_GBK" w:cs="Times New Roman"/>
          <w:sz w:val="32"/>
          <w:szCs w:val="32"/>
        </w:rPr>
        <w:t>联系方式：</w:t>
      </w:r>
      <w:r>
        <w:rPr>
          <w:rFonts w:hint="eastAsia" w:ascii="Times New Roman" w:hAnsi="Times New Roman" w:eastAsia="方正仿宋_GBK" w:cs="Times New Roman"/>
          <w:sz w:val="32"/>
          <w:szCs w:val="32"/>
          <w:lang w:val="en-US" w:eastAsia="zh-CN"/>
        </w:rPr>
        <w:t>15985146441</w:t>
      </w:r>
    </w:p>
    <w:p>
      <w:pPr>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eastAsia="zh-CN"/>
        </w:rPr>
        <w:t>联络专员：</w:t>
      </w:r>
      <w:r>
        <w:rPr>
          <w:rFonts w:hint="eastAsia" w:ascii="Times New Roman" w:hAnsi="Times New Roman" w:eastAsia="方正仿宋_GBK" w:cs="Times New Roman"/>
          <w:sz w:val="32"/>
          <w:szCs w:val="32"/>
          <w:lang w:eastAsia="zh-CN"/>
        </w:rPr>
        <w:t>尚</w:t>
      </w:r>
      <w:r>
        <w:rPr>
          <w:rFonts w:ascii="Times New Roman" w:hAnsi="Times New Roman" w:eastAsia="方正仿宋_GBK" w:cs="Times New Roman"/>
          <w:sz w:val="32"/>
          <w:szCs w:val="32"/>
        </w:rPr>
        <w:t>老师</w:t>
      </w:r>
      <w:r>
        <w:rPr>
          <w:rFonts w:hint="eastAsia" w:eastAsia="方正仿宋_GBK" w:cs="Times New Roman"/>
          <w:sz w:val="32"/>
          <w:szCs w:val="32"/>
          <w:lang w:eastAsia="zh-CN"/>
        </w:rPr>
        <w:t>，</w:t>
      </w:r>
      <w:r>
        <w:rPr>
          <w:rFonts w:ascii="Times New Roman" w:hAnsi="Times New Roman" w:eastAsia="方正仿宋_GBK" w:cs="Times New Roman"/>
          <w:sz w:val="32"/>
          <w:szCs w:val="32"/>
        </w:rPr>
        <w:t>联系方式：</w:t>
      </w:r>
      <w:r>
        <w:rPr>
          <w:rFonts w:hint="eastAsia" w:ascii="Times New Roman" w:hAnsi="Times New Roman" w:eastAsia="方正仿宋_GBK" w:cs="Times New Roman"/>
          <w:sz w:val="32"/>
          <w:szCs w:val="32"/>
          <w:lang w:val="en-US" w:eastAsia="zh-CN"/>
        </w:rPr>
        <w:t>13608568498</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楷体_GBK"/>
          <w:color w:val="000000" w:themeColor="text1"/>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widowControl/>
        <w:numPr>
          <w:ilvl w:val="0"/>
          <w:numId w:val="0"/>
        </w:numPr>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ascii="Times New Roman" w:hAnsi="Times New Roman" w:eastAsia="方正楷体_GBK"/>
          <w:color w:val="000000" w:themeColor="text1"/>
          <w:lang w:val="en-US" w:eastAsia="zh-CN"/>
          <w14:textFill>
            <w14:solidFill>
              <w14:schemeClr w14:val="tx1"/>
            </w14:solidFill>
          </w14:textFill>
        </w:rPr>
        <w:t>3.</w:t>
      </w:r>
      <w:r>
        <w:rPr>
          <w:rFonts w:ascii="Times New Roman" w:hAnsi="Times New Roman" w:eastAsia="方正楷体_GBK"/>
          <w:color w:val="000000" w:themeColor="text1"/>
          <w:lang w:val="en-US"/>
          <w14:textFill>
            <w14:solidFill>
              <w14:schemeClr w14:val="tx1"/>
            </w14:solidFill>
          </w14:textFill>
        </w:rPr>
        <w:t>联系时间</w:t>
      </w:r>
    </w:p>
    <w:p>
      <w:pPr>
        <w:pageBreakBefore w:val="0"/>
        <w:widowControl/>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pageBreakBefore w:val="0"/>
        <w:widowControl/>
        <w:kinsoku/>
        <w:wordWrap/>
        <w:overflowPunct/>
        <w:topLinePunct w:val="0"/>
        <w:autoSpaceDE/>
        <w:autoSpaceDN/>
        <w:bidi w:val="0"/>
        <w:adjustRightInd/>
        <w:spacing w:line="560" w:lineRule="exact"/>
        <w:ind w:left="0" w:firstLine="640" w:firstLineChars="200"/>
        <w:textAlignment w:val="auto"/>
        <w:rPr>
          <w:rFonts w:hint="eastAsia" w:ascii="方正仿宋_GBK" w:eastAsia="方正仿宋_GBK"/>
          <w:color w:val="000000"/>
          <w:sz w:val="32"/>
          <w:szCs w:val="32"/>
        </w:rPr>
      </w:pPr>
    </w:p>
    <w:p>
      <w:pPr>
        <w:pageBreakBefore w:val="0"/>
        <w:widowControl/>
        <w:kinsoku/>
        <w:wordWrap/>
        <w:overflowPunct/>
        <w:topLinePunct w:val="0"/>
        <w:autoSpaceDE/>
        <w:autoSpaceDN/>
        <w:bidi w:val="0"/>
        <w:adjustRightInd/>
        <w:spacing w:line="560" w:lineRule="exact"/>
        <w:ind w:left="0" w:firstLine="640" w:firstLineChars="200"/>
        <w:textAlignment w:val="auto"/>
        <w:rPr>
          <w:rFonts w:hint="eastAsia" w:ascii="方正仿宋_GBK" w:eastAsia="方正仿宋_GBK"/>
          <w:color w:val="000000"/>
          <w:sz w:val="32"/>
          <w:szCs w:val="32"/>
        </w:rPr>
      </w:pPr>
    </w:p>
    <w:p>
      <w:pPr>
        <w:pageBreakBefore w:val="0"/>
        <w:widowControl/>
        <w:kinsoku/>
        <w:wordWrap/>
        <w:overflowPunct/>
        <w:topLinePunct w:val="0"/>
        <w:autoSpaceDE/>
        <w:autoSpaceDN/>
        <w:bidi w:val="0"/>
        <w:adjustRightInd/>
        <w:spacing w:line="560" w:lineRule="exact"/>
        <w:ind w:left="0" w:firstLine="640" w:firstLineChars="200"/>
        <w:textAlignment w:val="auto"/>
        <w:rPr>
          <w:rFonts w:hint="eastAsia" w:ascii="方正仿宋_GBK" w:eastAsia="方正仿宋_GBK"/>
          <w:color w:val="000000"/>
          <w:sz w:val="32"/>
          <w:szCs w:val="32"/>
        </w:rPr>
      </w:pPr>
    </w:p>
    <w:p>
      <w:pPr>
        <w:pStyle w:val="3"/>
        <w:pageBreakBefore w:val="0"/>
        <w:widowControl/>
        <w:numPr>
          <w:ilvl w:val="255"/>
          <w:numId w:val="0"/>
        </w:numPr>
        <w:kinsoku/>
        <w:wordWrap/>
        <w:overflowPunct/>
        <w:topLinePunct w:val="0"/>
        <w:autoSpaceDE/>
        <w:autoSpaceDN/>
        <w:bidi w:val="0"/>
        <w:adjustRightInd/>
        <w:spacing w:line="240" w:lineRule="auto"/>
        <w:ind w:firstLine="3840" w:firstLineChars="1200"/>
        <w:jc w:val="both"/>
        <w:textAlignment w:val="auto"/>
        <w:rPr>
          <w:rFonts w:hint="eastAsia" w:ascii="Times New Roman" w:hAnsi="Times New Roman" w:eastAsia="方正仿宋_GBK"/>
          <w:color w:val="000000" w:themeColor="text1"/>
          <w:szCs w:val="32"/>
          <w:lang w:val="en-US" w:eastAsia="zh-CN"/>
          <w14:textFill>
            <w14:solidFill>
              <w14:schemeClr w14:val="tx1"/>
            </w14:solidFill>
          </w14:textFill>
        </w:rPr>
      </w:pPr>
      <w:r>
        <w:rPr>
          <w:rFonts w:hint="eastAsia" w:ascii="Times New Roman" w:hAnsi="Times New Roman" w:eastAsia="方正仿宋_GBK"/>
          <w:color w:val="000000" w:themeColor="text1"/>
          <w:szCs w:val="32"/>
          <w:lang w:val="en-US" w:eastAsia="zh-CN"/>
          <w14:textFill>
            <w14:solidFill>
              <w14:schemeClr w14:val="tx1"/>
            </w14:solidFill>
          </w14:textFill>
        </w:rPr>
        <w:t>贵州磷化（集团）有限责任公司</w:t>
      </w:r>
    </w:p>
    <w:p>
      <w:pPr>
        <w:rPr>
          <w:rFonts w:hint="eastAsia" w:ascii="Times New Roman" w:hAnsi="Times New Roman" w:eastAsia="方正仿宋_GBK"/>
          <w:color w:val="000000" w:themeColor="text1"/>
          <w:szCs w:val="32"/>
          <w:lang w:val="en-US" w:eastAsia="zh-CN"/>
          <w14:textFill>
            <w14:solidFill>
              <w14:schemeClr w14:val="tx1"/>
            </w14:solidFill>
          </w14:textFill>
        </w:rPr>
      </w:pPr>
      <w:r>
        <w:rPr>
          <w:rFonts w:hint="eastAsia" w:ascii="Times New Roman" w:hAnsi="Times New Roman" w:eastAsia="方正仿宋_GBK"/>
          <w:color w:val="000000" w:themeColor="text1"/>
          <w:szCs w:val="32"/>
          <w:lang w:val="en-US" w:eastAsia="zh-CN"/>
          <w14:textFill>
            <w14:solidFill>
              <w14:schemeClr w14:val="tx1"/>
            </w14:solidFill>
          </w14:textFill>
        </w:rPr>
        <w:br w:type="page"/>
      </w: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贵州磷化（集团）有限责任公司已形成以贵州福泉、开阳、息烽为核心，甘肃金昌、四川达州、福建上杭为支撑的六大生产和研发基地</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rPr>
        <w:t>每年磷矿开采能力超过</w:t>
      </w:r>
      <w:r>
        <w:rPr>
          <w:rFonts w:ascii="Times New Roman" w:hAnsi="Times New Roman" w:eastAsia="方正仿宋_GBK" w:cs="Times New Roman"/>
          <w:sz w:val="32"/>
          <w:szCs w:val="32"/>
        </w:rPr>
        <w:t>1700万吨，磷酸产能超过400万吨，高浓度磷复肥及新型肥料产能超过800万吨，湿法净化磷酸产能</w:t>
      </w:r>
      <w:r>
        <w:rPr>
          <w:rFonts w:hint="eastAsia" w:ascii="Times New Roman" w:hAnsi="Times New Roman" w:eastAsia="方正仿宋_GBK" w:cs="Times New Roman"/>
          <w:sz w:val="32"/>
          <w:szCs w:val="32"/>
          <w:highlight w:val="none"/>
          <w:lang w:val="en-US" w:eastAsia="zh-CN"/>
        </w:rPr>
        <w:t>2</w:t>
      </w:r>
      <w:r>
        <w:rPr>
          <w:rFonts w:ascii="Times New Roman" w:hAnsi="Times New Roman" w:eastAsia="方正仿宋_GBK" w:cs="Times New Roman"/>
          <w:sz w:val="32"/>
          <w:szCs w:val="32"/>
          <w:highlight w:val="none"/>
        </w:rPr>
        <w:t>00万吨，磷酸盐产能</w:t>
      </w:r>
      <w:r>
        <w:rPr>
          <w:rFonts w:hint="eastAsia" w:ascii="Times New Roman" w:hAnsi="Times New Roman" w:eastAsia="方正仿宋_GBK" w:cs="Times New Roman"/>
          <w:sz w:val="32"/>
          <w:szCs w:val="32"/>
          <w:highlight w:val="none"/>
          <w:lang w:val="en-US" w:eastAsia="zh-CN"/>
        </w:rPr>
        <w:t>50</w:t>
      </w:r>
      <w:r>
        <w:rPr>
          <w:rFonts w:ascii="Times New Roman" w:hAnsi="Times New Roman" w:eastAsia="方正仿宋_GBK" w:cs="Times New Roman"/>
          <w:sz w:val="32"/>
          <w:szCs w:val="32"/>
          <w:highlight w:val="none"/>
        </w:rPr>
        <w:t>万吨，无水氟化氢产能</w:t>
      </w:r>
      <w:r>
        <w:rPr>
          <w:rFonts w:hint="eastAsia" w:ascii="Times New Roman" w:hAnsi="Times New Roman" w:eastAsia="方正仿宋_GBK" w:cs="Times New Roman"/>
          <w:sz w:val="32"/>
          <w:szCs w:val="32"/>
          <w:highlight w:val="none"/>
          <w:lang w:val="en-US" w:eastAsia="zh-CN"/>
        </w:rPr>
        <w:t>20</w:t>
      </w:r>
      <w:r>
        <w:rPr>
          <w:rFonts w:ascii="Times New Roman" w:hAnsi="Times New Roman" w:eastAsia="方正仿宋_GBK" w:cs="Times New Roman"/>
          <w:sz w:val="32"/>
          <w:szCs w:val="32"/>
          <w:highlight w:val="none"/>
        </w:rPr>
        <w:t>万吨</w:t>
      </w:r>
      <w:r>
        <w:rPr>
          <w:rFonts w:hint="eastAsia" w:ascii="Times New Roman" w:hAnsi="Times New Roman" w:eastAsia="方正仿宋_GBK" w:cs="Times New Roman"/>
          <w:sz w:val="32"/>
          <w:szCs w:val="32"/>
          <w:highlight w:val="none"/>
          <w:lang w:val="en-US" w:eastAsia="zh-CN"/>
        </w:rPr>
        <w:t>和磷系电池级材料前驱体</w:t>
      </w:r>
      <w:r>
        <w:rPr>
          <w:rFonts w:ascii="Times New Roman" w:hAnsi="Times New Roman" w:eastAsia="方正仿宋_GBK" w:cs="Times New Roman"/>
          <w:sz w:val="32"/>
          <w:szCs w:val="32"/>
          <w:highlight w:val="none"/>
        </w:rPr>
        <w:t>产能</w:t>
      </w:r>
      <w:r>
        <w:rPr>
          <w:rFonts w:hint="eastAsia" w:ascii="Times New Roman" w:hAnsi="Times New Roman" w:eastAsia="方正仿宋_GBK" w:cs="Times New Roman"/>
          <w:sz w:val="32"/>
          <w:szCs w:val="32"/>
          <w:highlight w:val="none"/>
          <w:lang w:val="en-US" w:eastAsia="zh-CN"/>
        </w:rPr>
        <w:t>100万吨</w:t>
      </w:r>
      <w:r>
        <w:rPr>
          <w:rFonts w:ascii="Times New Roman" w:hAnsi="Times New Roman" w:eastAsia="方正仿宋_GBK" w:cs="Times New Roman"/>
          <w:sz w:val="32"/>
          <w:szCs w:val="32"/>
          <w:highlight w:val="none"/>
        </w:rPr>
        <w:t>等</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2022年，我国新能源磷酸铁锂电池正极材料磷酸铁锂消耗磷酸90多万吨，其中贵州磷化集团供应35万吨，占市场消耗量约40%。</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贵州磷化集团高浓度磷复肥生产产能规模全国最大，每年供应国内植物磷素养料需求三分之一左右，是保障国家粮食安全的重要</w:t>
      </w:r>
      <w:r>
        <w:rPr>
          <w:rFonts w:hint="eastAsia" w:eastAsia="方正仿宋_GBK" w:cs="Times New Roman"/>
          <w:b w:val="0"/>
          <w:bCs w:val="0"/>
          <w:i w:val="0"/>
          <w:iCs w:val="0"/>
          <w:color w:val="auto"/>
          <w:kern w:val="2"/>
          <w:sz w:val="32"/>
          <w:szCs w:val="32"/>
          <w:highlight w:val="none"/>
          <w:vertAlign w:val="baseline"/>
          <w:lang w:val="en-US" w:eastAsia="zh-CN" w:bidi="ar-SA"/>
        </w:rPr>
        <w:t>力量</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。贵州磷化集团</w:t>
      </w:r>
      <w:r>
        <w:rPr>
          <w:rFonts w:hint="eastAsia" w:ascii="Times New Roman" w:hAnsi="Times New Roman" w:eastAsia="方正仿宋_GBK" w:cs="Times New Roman"/>
          <w:sz w:val="32"/>
          <w:szCs w:val="32"/>
        </w:rPr>
        <w:t>在企业规模、资源禀赋、营业收入等指标方面综合排名磷化工行业全国第一、世界前三。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ascii="Times New Roman" w:hAnsi="Times New Roman" w:eastAsia="方正仿宋_GBK" w:cs="Times New Roman"/>
          <w:sz w:val="32"/>
          <w:szCs w:val="32"/>
          <w:lang w:eastAsia="zh-CN"/>
        </w:rPr>
        <w:t>贵州磷化</w:t>
      </w:r>
      <w:r>
        <w:rPr>
          <w:rFonts w:hint="eastAsia" w:ascii="Times New Roman" w:hAnsi="Times New Roman" w:eastAsia="方正仿宋_GBK" w:cs="Times New Roman"/>
          <w:sz w:val="32"/>
          <w:szCs w:val="32"/>
        </w:rPr>
        <w:t>集团拥有行业唯一的中低品位磷矿及其共伴生资源高效利用国家重点实验室，以及博士后科研工作站、国家级企业技术中心等技术创新平台。与国内外</w:t>
      </w:r>
      <w:r>
        <w:rPr>
          <w:rFonts w:ascii="Times New Roman" w:hAnsi="Times New Roman" w:eastAsia="方正仿宋_GBK" w:cs="Times New Roman"/>
          <w:sz w:val="32"/>
          <w:szCs w:val="32"/>
        </w:rPr>
        <w:t>30余家知名高校、科研院所联合开展产学研合作，开发了中低品位磷矿采选、湿法磷酸净化、磷矿共伴生氟碘资源综合利用等数十项国际国内领先核心关键技术，均已实现规模化和工业化</w:t>
      </w:r>
      <w:r>
        <w:rPr>
          <w:rFonts w:hint="eastAsia" w:ascii="Times New Roman" w:hAnsi="Times New Roman" w:eastAsia="方正仿宋_GBK" w:cs="Times New Roman"/>
          <w:sz w:val="32"/>
          <w:szCs w:val="32"/>
        </w:rPr>
        <w:t>，其中湿法净化磷酸和无水氟化氢入选国家级制造业单项冠军</w:t>
      </w:r>
      <w:r>
        <w:rPr>
          <w:rFonts w:hint="eastAsia" w:eastAsia="方正仿宋_GBK" w:cs="Times New Roman"/>
          <w:sz w:val="32"/>
          <w:szCs w:val="32"/>
          <w:lang w:eastAsia="zh-CN"/>
        </w:rPr>
        <w:t>产品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累计申请专利</w:t>
      </w:r>
      <w:r>
        <w:rPr>
          <w:rFonts w:hint="eastAsia" w:ascii="Times New Roman" w:hAnsi="Times New Roman" w:eastAsia="方正仿宋_GBK" w:cs="Times New Roman"/>
          <w:sz w:val="32"/>
          <w:szCs w:val="32"/>
          <w:lang w:val="en-US" w:eastAsia="zh-CN"/>
        </w:rPr>
        <w:t>3716</w:t>
      </w:r>
      <w:r>
        <w:rPr>
          <w:rFonts w:ascii="Times New Roman" w:hAnsi="Times New Roman" w:eastAsia="方正仿宋_GBK" w:cs="Times New Roman"/>
          <w:sz w:val="32"/>
          <w:szCs w:val="32"/>
        </w:rPr>
        <w:t>件，获得专利</w:t>
      </w:r>
      <w:r>
        <w:rPr>
          <w:rFonts w:hint="eastAsia" w:ascii="Times New Roman" w:hAnsi="Times New Roman" w:eastAsia="方正仿宋_GBK" w:cs="Times New Roman"/>
          <w:sz w:val="32"/>
          <w:szCs w:val="32"/>
          <w:lang w:val="en-US" w:eastAsia="zh-CN"/>
        </w:rPr>
        <w:t>2325</w:t>
      </w:r>
      <w:r>
        <w:rPr>
          <w:rFonts w:ascii="Times New Roman" w:hAnsi="Times New Roman" w:eastAsia="方正仿宋_GBK" w:cs="Times New Roman"/>
          <w:sz w:val="32"/>
          <w:szCs w:val="32"/>
        </w:rPr>
        <w:t>件，技术创新综合实力在国内外行业中处于领先地位。</w:t>
      </w:r>
    </w:p>
    <w:sectPr>
      <w:footerReference r:id="rId3" w:type="default"/>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大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18A6D"/>
    <w:multiLevelType w:val="singleLevel"/>
    <w:tmpl w:val="BF518A6D"/>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654211"/>
    <w:rsid w:val="0671705A"/>
    <w:rsid w:val="06732134"/>
    <w:rsid w:val="06F55DEF"/>
    <w:rsid w:val="07463F1D"/>
    <w:rsid w:val="078F2493"/>
    <w:rsid w:val="07901CC5"/>
    <w:rsid w:val="0795514D"/>
    <w:rsid w:val="0840076F"/>
    <w:rsid w:val="084E36AF"/>
    <w:rsid w:val="08601D96"/>
    <w:rsid w:val="08C25676"/>
    <w:rsid w:val="09644BDE"/>
    <w:rsid w:val="09AA3609"/>
    <w:rsid w:val="09DA4A26"/>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291BC7"/>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53695"/>
    <w:rsid w:val="1EA907D1"/>
    <w:rsid w:val="1F066139"/>
    <w:rsid w:val="1F3C04FF"/>
    <w:rsid w:val="1F762BAF"/>
    <w:rsid w:val="20123648"/>
    <w:rsid w:val="21DA0F90"/>
    <w:rsid w:val="21FD6C01"/>
    <w:rsid w:val="22463DDE"/>
    <w:rsid w:val="227E692E"/>
    <w:rsid w:val="22881F58"/>
    <w:rsid w:val="22E55DA3"/>
    <w:rsid w:val="231F12DE"/>
    <w:rsid w:val="23531B69"/>
    <w:rsid w:val="2376311D"/>
    <w:rsid w:val="23835AF5"/>
    <w:rsid w:val="23991047"/>
    <w:rsid w:val="23B107E7"/>
    <w:rsid w:val="23B940CE"/>
    <w:rsid w:val="242F1397"/>
    <w:rsid w:val="25324A72"/>
    <w:rsid w:val="254C6200"/>
    <w:rsid w:val="25BD2529"/>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DC31699"/>
    <w:rsid w:val="2E44738D"/>
    <w:rsid w:val="2E483CF0"/>
    <w:rsid w:val="2EAE282B"/>
    <w:rsid w:val="2ED43E1F"/>
    <w:rsid w:val="2EF61F5F"/>
    <w:rsid w:val="2F204D2F"/>
    <w:rsid w:val="2F213D0C"/>
    <w:rsid w:val="2F6B6D60"/>
    <w:rsid w:val="2FCD7BF6"/>
    <w:rsid w:val="30280776"/>
    <w:rsid w:val="30B80441"/>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0C2266A"/>
    <w:rsid w:val="4185378C"/>
    <w:rsid w:val="426C7660"/>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AB75B9"/>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8A708C"/>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3110AE"/>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15268D"/>
    <w:rsid w:val="7C5311B3"/>
    <w:rsid w:val="7CDB7433"/>
    <w:rsid w:val="7D0F22FE"/>
    <w:rsid w:val="7D460711"/>
    <w:rsid w:val="7D717185"/>
    <w:rsid w:val="7D7635FF"/>
    <w:rsid w:val="7D8111E0"/>
    <w:rsid w:val="7DB10E50"/>
    <w:rsid w:val="7E172803"/>
    <w:rsid w:val="7EC13FAE"/>
    <w:rsid w:val="7F152E80"/>
    <w:rsid w:val="7F207CC7"/>
    <w:rsid w:val="7F3D3C2E"/>
    <w:rsid w:val="7F770BAF"/>
    <w:rsid w:val="7F8B2858"/>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773</Words>
  <Characters>4409</Characters>
  <Lines>36</Lines>
  <Paragraphs>10</Paragraphs>
  <TotalTime>0</TotalTime>
  <ScaleCrop>false</ScaleCrop>
  <LinksUpToDate>false</LinksUpToDate>
  <CharactersWithSpaces>5172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2024-04-17T00:42:16Z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