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6：</w:t>
      </w:r>
    </w:p>
    <w:p>
      <w:pPr>
        <w:pStyle w:val="2"/>
        <w:spacing w:beforeAutospacing="0" w:afterAutospacing="0" w:line="640" w:lineRule="exact"/>
        <w:jc w:val="cente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pPr>
      <w:r>
        <w:rPr>
          <w:rFonts w:hint="eastAsia" w:ascii="方正大标宋_GBK" w:hAnsi="方正大标宋_GBK" w:eastAsia="方正大标宋_GBK" w:cs="方正大标宋_GBK"/>
          <w:b w:val="0"/>
          <w:bCs w:val="0"/>
          <w:color w:val="000000" w:themeColor="text1"/>
          <w:sz w:val="44"/>
          <w:szCs w:val="44"/>
          <w:lang w:eastAsia="zh-CN"/>
          <w14:textFill>
            <w14:solidFill>
              <w14:schemeClr w14:val="tx1"/>
            </w14:solidFill>
          </w14:textFill>
        </w:rPr>
        <w:t>“</w:t>
      </w:r>
      <w: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t>基于大模型的多模态风险内容识别</w:t>
      </w:r>
    </w:p>
    <w:p>
      <w:pPr>
        <w:pStyle w:val="2"/>
        <w:spacing w:beforeAutospacing="0" w:afterAutospacing="0" w:line="640" w:lineRule="exact"/>
        <w:jc w:val="cente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pPr>
      <w: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t>技术研究</w:t>
      </w:r>
      <w:r>
        <w:rPr>
          <w:rFonts w:hint="eastAsia" w:ascii="方正大标宋_GBK" w:hAnsi="方正大标宋_GBK" w:eastAsia="方正大标宋_GBK" w:cs="方正大标宋_GBK"/>
          <w:b w:val="0"/>
          <w:bCs w:val="0"/>
          <w:color w:val="000000" w:themeColor="text1"/>
          <w:sz w:val="44"/>
          <w:szCs w:val="44"/>
          <w:lang w:eastAsia="zh-CN"/>
          <w14:textFill>
            <w14:solidFill>
              <w14:schemeClr w14:val="tx1"/>
            </w14:solidFill>
          </w14:textFill>
        </w:rPr>
        <w:t>”</w:t>
      </w:r>
      <w:r>
        <w:rPr>
          <w:rFonts w:hint="eastAsia" w:ascii="方正大标宋_GBK" w:hAnsi="方正大标宋_GBK" w:eastAsia="方正大标宋_GBK" w:cs="方正大标宋_GBK"/>
          <w:b w:val="0"/>
          <w:bCs w:val="0"/>
          <w:color w:val="000000" w:themeColor="text1"/>
          <w:sz w:val="44"/>
          <w:szCs w:val="44"/>
          <w14:textFill>
            <w14:solidFill>
              <w14:schemeClr w14:val="tx1"/>
            </w14:solidFill>
          </w14:textFill>
        </w:rPr>
        <w:t>比赛方案</w:t>
      </w:r>
    </w:p>
    <w:p>
      <w:pPr>
        <w:spacing w:line="640" w:lineRule="exact"/>
        <w:jc w:val="center"/>
        <w:rPr>
          <w:rFonts w:hint="eastAsia" w:ascii="方正楷体_GBK" w:hAnsi="方正楷体_GBK" w:eastAsia="方正楷体_GBK" w:cs="方正楷体_GBK"/>
          <w:color w:val="000000" w:themeColor="text1"/>
          <w:sz w:val="32"/>
          <w:szCs w:val="32"/>
          <w:lang w:val="en-US"/>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14:textFill>
            <w14:solidFill>
              <w14:schemeClr w14:val="tx1"/>
            </w14:solidFill>
          </w14:textFill>
        </w:rPr>
        <w:t>（中国联合网络通信集团有限公司）</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中国联合网络通信集团有限公司</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基于大模型的多模态风险内容识别技术研究</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随着通信技术和数字技术的快速发展与普及，诈骗、谣言等风险内容随之增加，成为社会管理和网络空间治理的新挑战。多模态风险内容，</w:t>
      </w:r>
      <w:r>
        <w:rPr>
          <w:rFonts w:hint="eastAsia" w:eastAsia="方正仿宋_GBK"/>
          <w:color w:val="000000" w:themeColor="text1"/>
          <w:sz w:val="32"/>
          <w:szCs w:val="32"/>
          <w:lang w:val="en-US"/>
          <w14:textFill>
            <w14:solidFill>
              <w14:schemeClr w14:val="tx1"/>
            </w14:solidFill>
          </w14:textFill>
        </w:rPr>
        <w:t>如</w:t>
      </w:r>
      <w:r>
        <w:rPr>
          <w:rFonts w:eastAsia="方正仿宋_GBK"/>
          <w:color w:val="000000" w:themeColor="text1"/>
          <w:sz w:val="32"/>
          <w:szCs w:val="32"/>
          <w:lang w:val="en-US"/>
          <w14:textFill>
            <w14:solidFill>
              <w14:schemeClr w14:val="tx1"/>
            </w14:solidFill>
          </w14:textFill>
        </w:rPr>
        <w:t>诈骗短信、电话</w:t>
      </w:r>
      <w:r>
        <w:rPr>
          <w:rFonts w:hint="eastAsia" w:eastAsia="方正仿宋_GBK"/>
          <w:color w:val="000000" w:themeColor="text1"/>
          <w:sz w:val="32"/>
          <w:szCs w:val="32"/>
          <w:lang w:val="en-US"/>
          <w14:textFill>
            <w14:solidFill>
              <w14:schemeClr w14:val="tx1"/>
            </w14:solidFill>
          </w14:textFill>
        </w:rPr>
        <w:t>，以及</w:t>
      </w:r>
      <w:r>
        <w:rPr>
          <w:rFonts w:eastAsia="方正仿宋_GBK"/>
          <w:color w:val="000000" w:themeColor="text1"/>
          <w:sz w:val="32"/>
          <w:szCs w:val="32"/>
          <w:lang w:val="en-US"/>
          <w14:textFill>
            <w14:solidFill>
              <w14:schemeClr w14:val="tx1"/>
            </w14:solidFill>
          </w14:textFill>
        </w:rPr>
        <w:t>伪造人脸、声音、视频等，给国家安全、经济发展和社会稳定带来了巨大的隐患。现有的内容识别技术在应对日益复杂的风险内容时显得力不从心，亟需更为强大和灵敏的检测手段。在这一背景下，充分发挥人工智能在多模态风险内容分析和识别方面的潜力显得尤为关键。</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14:textFill>
            <w14:solidFill>
              <w14:schemeClr w14:val="tx1"/>
            </w14:solidFill>
          </w14:textFill>
        </w:rPr>
        <w:t>大模型技术的发展和应用是当前</w:t>
      </w:r>
      <w:r>
        <w:rPr>
          <w:rFonts w:eastAsia="方正仿宋_GBK"/>
          <w:color w:val="000000" w:themeColor="text1"/>
          <w:sz w:val="32"/>
          <w:szCs w:val="32"/>
          <w:lang w:val="en-US"/>
          <w14:textFill>
            <w14:solidFill>
              <w14:schemeClr w14:val="tx1"/>
            </w14:solidFill>
          </w14:textFill>
        </w:rPr>
        <w:t>人工智能</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领域的前沿方向。为了应对风险内容的复杂性、动态性和多样性，需要利用大模型的强大处理能力、深度语义理解能力、复杂模式识别能力</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，以及</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持续进化能力来研究和开发更有效的多模态风险内容识别技术，提高识别的准确性、灵活性和适应性。</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答题要求</w:t>
      </w:r>
    </w:p>
    <w:p>
      <w:pPr>
        <w:pageBreakBefore w:val="0"/>
        <w:kinsoku/>
        <w:wordWrap/>
        <w:overflowPunct/>
        <w:topLinePunct w:val="0"/>
        <w:autoSpaceDE/>
        <w:autoSpaceDN/>
        <w:bidi w:val="0"/>
        <w:adjustRightInd w:val="0"/>
        <w:snapToGrid w:val="0"/>
        <w:spacing w:line="560" w:lineRule="exact"/>
        <w:ind w:left="0" w:firstLine="664" w:firstLineChars="200"/>
        <w:jc w:val="both"/>
        <w:textAlignment w:val="auto"/>
        <w:rPr>
          <w:rFonts w:ascii="方正仿宋_GBK" w:eastAsia="方正仿宋_GBK"/>
          <w:bCs/>
          <w:color w:val="000000" w:themeColor="text1"/>
          <w:spacing w:val="6"/>
          <w:sz w:val="32"/>
          <w:szCs w:val="32"/>
          <w:lang w:val="en-US"/>
          <w14:textFill>
            <w14:solidFill>
              <w14:schemeClr w14:val="tx1"/>
            </w14:solidFill>
          </w14:textFill>
        </w:rPr>
      </w:pPr>
      <w:r>
        <w:rPr>
          <w:rFonts w:hint="eastAsia" w:ascii="方正仿宋_GBK" w:eastAsia="方正仿宋_GBK"/>
          <w:bCs/>
          <w:color w:val="000000" w:themeColor="text1"/>
          <w:spacing w:val="6"/>
          <w:sz w:val="32"/>
          <w:szCs w:val="32"/>
          <w:lang w:val="en-US"/>
          <w14:textFill>
            <w14:solidFill>
              <w14:schemeClr w14:val="tx1"/>
            </w14:solidFill>
          </w14:textFill>
        </w:rPr>
        <w:t>参赛团队需要设计并实现一个基于大模型的多模态风险内容识别系统。该系统需要自动分析风险内容，输出识别结果，同时提供风险点摘要。系统应利用大模型技术，支持处理一种或多种数据类型，实现精准高效识别。</w:t>
      </w:r>
    </w:p>
    <w:p>
      <w:pPr>
        <w:pageBreakBefore w:val="0"/>
        <w:kinsoku/>
        <w:wordWrap/>
        <w:overflowPunct/>
        <w:topLinePunct w:val="0"/>
        <w:autoSpaceDE/>
        <w:autoSpaceDN/>
        <w:bidi w:val="0"/>
        <w:adjustRightInd w:val="0"/>
        <w:snapToGrid w:val="0"/>
        <w:spacing w:line="560" w:lineRule="exact"/>
        <w:ind w:left="0" w:firstLine="664" w:firstLineChars="200"/>
        <w:textAlignment w:val="auto"/>
        <w:rPr>
          <w:rFonts w:ascii="方正仿宋_GBK" w:eastAsia="方正仿宋_GBK"/>
          <w:bCs/>
          <w:color w:val="000000" w:themeColor="text1"/>
          <w:spacing w:val="6"/>
          <w:sz w:val="32"/>
          <w:szCs w:val="32"/>
          <w:lang w:val="en-US"/>
          <w14:textFill>
            <w14:solidFill>
              <w14:schemeClr w14:val="tx1"/>
            </w14:solidFill>
          </w14:textFill>
        </w:rPr>
      </w:pPr>
      <w:r>
        <w:rPr>
          <w:rFonts w:hint="eastAsia" w:ascii="方正仿宋_GBK" w:eastAsia="方正仿宋_GBK"/>
          <w:bCs/>
          <w:color w:val="000000" w:themeColor="text1"/>
          <w:spacing w:val="6"/>
          <w:sz w:val="32"/>
          <w:szCs w:val="32"/>
          <w:lang w:val="en-US"/>
          <w14:textFill>
            <w14:solidFill>
              <w14:schemeClr w14:val="tx1"/>
            </w14:solidFill>
          </w14:textFill>
        </w:rPr>
        <w:t>作品形式应包括如下两部分内容：</w:t>
      </w:r>
    </w:p>
    <w:p>
      <w:pPr>
        <w:pStyle w:val="4"/>
        <w:pageBreakBefore w:val="0"/>
        <w:numPr>
          <w:ilvl w:val="0"/>
          <w:numId w:val="3"/>
        </w:numPr>
        <w:kinsoku/>
        <w:wordWrap/>
        <w:overflowPunct/>
        <w:topLinePunct w:val="0"/>
        <w:autoSpaceDE/>
        <w:autoSpaceDN/>
        <w:bidi w:val="0"/>
        <w:ind w:left="0" w:leftChars="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材料文档</w:t>
      </w:r>
    </w:p>
    <w:p>
      <w:pPr>
        <w:pStyle w:val="4"/>
        <w:pageBreakBefore w:val="0"/>
        <w:numPr>
          <w:ilvl w:val="0"/>
          <w:numId w:val="0"/>
        </w:numPr>
        <w:kinsoku/>
        <w:wordWrap/>
        <w:overflowPunct/>
        <w:topLinePunct w:val="0"/>
        <w:autoSpaceDE/>
        <w:autoSpaceDN/>
        <w:bidi w:val="0"/>
        <w:ind w:left="0" w:leftChars="0" w:firstLine="664" w:firstLineChars="200"/>
        <w:jc w:val="both"/>
        <w:textAlignment w:val="auto"/>
        <w:rPr>
          <w:rFonts w:ascii="方正仿宋_GBK" w:eastAsia="方正仿宋_GBK"/>
          <w:bCs/>
          <w:color w:val="000000" w:themeColor="text1"/>
          <w:spacing w:val="6"/>
          <w:sz w:val="32"/>
          <w:szCs w:val="32"/>
          <w:lang w:val="en-US"/>
          <w14:textFill>
            <w14:solidFill>
              <w14:schemeClr w14:val="tx1"/>
            </w14:solidFill>
          </w14:textFill>
        </w:rPr>
      </w:pPr>
      <w:r>
        <w:rPr>
          <w:rFonts w:hint="eastAsia" w:ascii="方正仿宋_GBK" w:eastAsia="方正仿宋_GBK"/>
          <w:bCs/>
          <w:color w:val="000000" w:themeColor="text1"/>
          <w:spacing w:val="6"/>
          <w:sz w:val="32"/>
          <w:szCs w:val="32"/>
          <w:lang w:val="en-US"/>
          <w14:textFill>
            <w14:solidFill>
              <w14:schemeClr w14:val="tx1"/>
            </w14:solidFill>
          </w14:textFill>
        </w:rPr>
        <w:t>内容包括但不限于设计方案、程序代码、总结报告等。</w:t>
      </w:r>
    </w:p>
    <w:p>
      <w:pPr>
        <w:pStyle w:val="4"/>
        <w:pageBreakBefore w:val="0"/>
        <w:numPr>
          <w:ilvl w:val="0"/>
          <w:numId w:val="3"/>
        </w:numPr>
        <w:kinsoku/>
        <w:wordWrap/>
        <w:overflowPunct/>
        <w:topLinePunct w:val="0"/>
        <w:autoSpaceDE/>
        <w:autoSpaceDN/>
        <w:bidi w:val="0"/>
        <w:ind w:left="0" w:leftChars="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服务器部署</w:t>
      </w:r>
    </w:p>
    <w:p>
      <w:pPr>
        <w:pStyle w:val="17"/>
        <w:pageBreakBefore w:val="0"/>
        <w:numPr>
          <w:ilvl w:val="0"/>
          <w:numId w:val="0"/>
        </w:numPr>
        <w:kinsoku/>
        <w:wordWrap/>
        <w:overflowPunct/>
        <w:topLinePunct w:val="0"/>
        <w:autoSpaceDE/>
        <w:autoSpaceDN/>
        <w:bidi w:val="0"/>
        <w:adjustRightInd w:val="0"/>
        <w:snapToGrid w:val="0"/>
        <w:spacing w:line="560" w:lineRule="exact"/>
        <w:ind w:left="0" w:leftChars="0" w:firstLine="664" w:firstLineChars="200"/>
        <w:jc w:val="both"/>
        <w:textAlignment w:val="auto"/>
        <w:rPr>
          <w:rFonts w:ascii="方正仿宋_GBK" w:eastAsia="方正仿宋_GBK"/>
          <w:bCs/>
          <w:color w:val="000000" w:themeColor="text1"/>
          <w:spacing w:val="6"/>
          <w:sz w:val="32"/>
          <w:szCs w:val="32"/>
          <w:lang w:val="en-US"/>
          <w14:textFill>
            <w14:solidFill>
              <w14:schemeClr w14:val="tx1"/>
            </w14:solidFill>
          </w14:textFill>
        </w:rPr>
      </w:pPr>
      <w:r>
        <w:rPr>
          <w:rFonts w:hint="eastAsia" w:ascii="方正仿宋_GBK" w:eastAsia="方正仿宋_GBK"/>
          <w:bCs/>
          <w:color w:val="000000" w:themeColor="text1"/>
          <w:spacing w:val="6"/>
          <w:sz w:val="32"/>
          <w:szCs w:val="32"/>
          <w:lang w:val="en-US"/>
          <w14:textFill>
            <w14:solidFill>
              <w14:schemeClr w14:val="tx1"/>
            </w14:solidFill>
          </w14:textFill>
        </w:rPr>
        <w:t>完成研发系统部署，确保可运行。</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作品评选标准</w:t>
      </w:r>
    </w:p>
    <w:p>
      <w:pPr>
        <w:pStyle w:val="4"/>
        <w:pageBreakBefore w:val="0"/>
        <w:numPr>
          <w:ilvl w:val="0"/>
          <w:numId w:val="4"/>
        </w:numPr>
        <w:kinsoku/>
        <w:wordWrap/>
        <w:overflowPunct/>
        <w:topLinePunct w:val="0"/>
        <w:autoSpaceDE/>
        <w:autoSpaceDN/>
        <w:bidi w:val="0"/>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作品完整性：40分</w:t>
      </w:r>
    </w:p>
    <w:p>
      <w:pPr>
        <w:pageBreakBefore w:val="0"/>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sz w:val="32"/>
          <w:szCs w:val="32"/>
          <w:lang w:val="en-US"/>
        </w:rPr>
      </w:pPr>
      <w:r>
        <w:rPr>
          <w:rFonts w:hint="eastAsia" w:ascii="方正仿宋_GBK" w:eastAsia="方正仿宋_GBK"/>
          <w:color w:val="000000"/>
          <w:sz w:val="32"/>
          <w:szCs w:val="32"/>
          <w:lang w:val="en-US"/>
        </w:rPr>
        <w:t>独立研发并完成基于大模型的多模态风险内容识别系统，功能完整可用，为</w:t>
      </w:r>
      <w:r>
        <w:rPr>
          <w:rFonts w:hint="eastAsia" w:eastAsia="方正仿宋_GBK"/>
          <w:color w:val="000000" w:themeColor="text1"/>
          <w:sz w:val="32"/>
          <w:szCs w:val="32"/>
          <w:lang w:val="en-US"/>
          <w14:textFill>
            <w14:solidFill>
              <w14:schemeClr w14:val="tx1"/>
            </w14:solidFill>
          </w14:textFill>
        </w:rPr>
        <w:t>40</w:t>
      </w:r>
      <w:r>
        <w:rPr>
          <w:rFonts w:hint="eastAsia" w:ascii="方正仿宋_GBK" w:eastAsia="方正仿宋_GBK"/>
          <w:color w:val="000000"/>
          <w:sz w:val="32"/>
          <w:szCs w:val="32"/>
          <w:lang w:val="en-US"/>
        </w:rPr>
        <w:t>分。如未完成，按照完成比例给予评定，最多不超过</w:t>
      </w:r>
      <w:r>
        <w:rPr>
          <w:rFonts w:hint="eastAsia" w:eastAsia="方正仿宋_GBK"/>
          <w:color w:val="000000" w:themeColor="text1"/>
          <w:sz w:val="32"/>
          <w:szCs w:val="32"/>
          <w:lang w:val="en-US"/>
          <w14:textFill>
            <w14:solidFill>
              <w14:schemeClr w14:val="tx1"/>
            </w14:solidFill>
          </w14:textFill>
        </w:rPr>
        <w:t>20</w:t>
      </w:r>
      <w:r>
        <w:rPr>
          <w:rFonts w:hint="eastAsia" w:ascii="方正仿宋_GBK" w:eastAsia="方正仿宋_GBK"/>
          <w:color w:val="000000"/>
          <w:sz w:val="32"/>
          <w:szCs w:val="32"/>
          <w:lang w:val="en-US"/>
        </w:rPr>
        <w:t>分。</w:t>
      </w:r>
    </w:p>
    <w:p>
      <w:pPr>
        <w:pStyle w:val="4"/>
        <w:pageBreakBefore w:val="0"/>
        <w:numPr>
          <w:ilvl w:val="0"/>
          <w:numId w:val="4"/>
        </w:numPr>
        <w:kinsoku/>
        <w:wordWrap/>
        <w:overflowPunct/>
        <w:topLinePunct w:val="0"/>
        <w:autoSpaceDE/>
        <w:autoSpaceDN/>
        <w:bidi w:val="0"/>
        <w:ind w:left="0" w:leftChars="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系统性能：30分</w:t>
      </w:r>
    </w:p>
    <w:p>
      <w:pPr>
        <w:pageBreakBefore w:val="0"/>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sz w:val="32"/>
          <w:szCs w:val="32"/>
          <w:lang w:val="en-US"/>
        </w:rPr>
      </w:pPr>
      <w:r>
        <w:rPr>
          <w:rFonts w:hint="eastAsia" w:ascii="方正仿宋_GBK" w:eastAsia="方正仿宋_GBK"/>
          <w:color w:val="000000"/>
          <w:sz w:val="32"/>
          <w:szCs w:val="32"/>
          <w:lang w:val="en-US"/>
        </w:rPr>
        <w:t>根据系统识别准确率、召回率，处理速度和效率，提供的风险点摘要质量进行打分，综合评定</w:t>
      </w:r>
      <w:r>
        <w:rPr>
          <w:rFonts w:hint="eastAsia" w:eastAsia="方正仿宋_GBK"/>
          <w:color w:val="000000" w:themeColor="text1"/>
          <w:sz w:val="32"/>
          <w:szCs w:val="32"/>
          <w:lang w:val="en-US"/>
          <w14:textFill>
            <w14:solidFill>
              <w14:schemeClr w14:val="tx1"/>
            </w14:solidFill>
          </w14:textFill>
        </w:rPr>
        <w:t>0-30</w:t>
      </w:r>
      <w:r>
        <w:rPr>
          <w:rFonts w:hint="eastAsia" w:ascii="方正仿宋_GBK" w:eastAsia="方正仿宋_GBK"/>
          <w:color w:val="000000"/>
          <w:sz w:val="32"/>
          <w:szCs w:val="32"/>
          <w:lang w:val="en-US"/>
        </w:rPr>
        <w:t>分。</w:t>
      </w:r>
    </w:p>
    <w:p>
      <w:pPr>
        <w:pStyle w:val="4"/>
        <w:pageBreakBefore w:val="0"/>
        <w:numPr>
          <w:ilvl w:val="0"/>
          <w:numId w:val="4"/>
        </w:numPr>
        <w:kinsoku/>
        <w:wordWrap/>
        <w:overflowPunct/>
        <w:topLinePunct w:val="0"/>
        <w:autoSpaceDE/>
        <w:autoSpaceDN/>
        <w:bidi w:val="0"/>
        <w:ind w:left="0" w:leftChars="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技术创新性：20分</w:t>
      </w:r>
    </w:p>
    <w:p>
      <w:pPr>
        <w:pageBreakBefore w:val="0"/>
        <w:kinsoku/>
        <w:wordWrap/>
        <w:overflowPunct/>
        <w:topLinePunct w:val="0"/>
        <w:autoSpaceDE/>
        <w:autoSpaceDN/>
        <w:bidi w:val="0"/>
        <w:spacing w:line="560" w:lineRule="exact"/>
        <w:ind w:left="0" w:firstLine="640" w:firstLineChars="200"/>
        <w:jc w:val="both"/>
        <w:textAlignment w:val="auto"/>
        <w:rPr>
          <w:rFonts w:ascii="方正仿宋_GBK" w:eastAsia="方正仿宋_GBK"/>
          <w:color w:val="000000"/>
          <w:sz w:val="32"/>
          <w:szCs w:val="32"/>
          <w:lang w:val="en-US"/>
        </w:rPr>
      </w:pPr>
      <w:r>
        <w:rPr>
          <w:rFonts w:hint="eastAsia" w:ascii="方正仿宋_GBK" w:eastAsia="方正仿宋_GBK"/>
          <w:color w:val="000000"/>
          <w:sz w:val="32"/>
          <w:szCs w:val="32"/>
          <w:lang w:val="en-US"/>
        </w:rPr>
        <w:t>考量作品在系统设计、数据处理、策略开发、大模型技术应用等方面的创新点，综合评定</w:t>
      </w:r>
      <w:r>
        <w:rPr>
          <w:rFonts w:hint="eastAsia" w:eastAsia="方正仿宋_GBK"/>
          <w:color w:val="000000" w:themeColor="text1"/>
          <w:sz w:val="32"/>
          <w:szCs w:val="32"/>
          <w:lang w:val="en-US"/>
          <w14:textFill>
            <w14:solidFill>
              <w14:schemeClr w14:val="tx1"/>
            </w14:solidFill>
          </w14:textFill>
        </w:rPr>
        <w:t>0-20</w:t>
      </w:r>
      <w:r>
        <w:rPr>
          <w:rFonts w:hint="eastAsia" w:ascii="方正仿宋_GBK" w:eastAsia="方正仿宋_GBK"/>
          <w:color w:val="000000"/>
          <w:sz w:val="32"/>
          <w:szCs w:val="32"/>
          <w:lang w:val="en-US"/>
        </w:rPr>
        <w:t>分。</w:t>
      </w:r>
    </w:p>
    <w:p>
      <w:pPr>
        <w:pStyle w:val="4"/>
        <w:pageBreakBefore w:val="0"/>
        <w:numPr>
          <w:ilvl w:val="0"/>
          <w:numId w:val="4"/>
        </w:numPr>
        <w:kinsoku/>
        <w:wordWrap/>
        <w:overflowPunct/>
        <w:topLinePunct w:val="0"/>
        <w:autoSpaceDE/>
        <w:autoSpaceDN/>
        <w:bidi w:val="0"/>
        <w:ind w:left="0" w:leftChars="0" w:firstLine="640" w:firstLineChars="200"/>
        <w:textAlignment w:val="auto"/>
        <w:rPr>
          <w:rFonts w:hint="eastAsia" w:ascii="Times New Roman" w:hAnsi="Times New Roman" w:eastAsia="方正楷体_GBK"/>
          <w:color w:val="000000" w:themeColor="text1"/>
          <w:lang w:val="en-US"/>
          <w14:textFill>
            <w14:solidFill>
              <w14:schemeClr w14:val="tx1"/>
            </w14:solidFill>
          </w14:textFill>
        </w:rPr>
      </w:pPr>
      <w:r>
        <w:rPr>
          <w:rFonts w:hint="eastAsia" w:ascii="Times New Roman" w:hAnsi="Times New Roman" w:eastAsia="方正楷体_GBK"/>
          <w:color w:val="000000" w:themeColor="text1"/>
          <w:lang w:val="en-US"/>
          <w14:textFill>
            <w14:solidFill>
              <w14:schemeClr w14:val="tx1"/>
            </w14:solidFill>
          </w14:textFill>
        </w:rPr>
        <w:t>实用性和应用前景：10分</w:t>
      </w:r>
    </w:p>
    <w:p>
      <w:pPr>
        <w:pageBreakBefore w:val="0"/>
        <w:kinsoku/>
        <w:wordWrap/>
        <w:overflowPunct/>
        <w:topLinePunct w:val="0"/>
        <w:autoSpaceDE/>
        <w:autoSpaceDN/>
        <w:bidi w:val="0"/>
        <w:spacing w:line="560" w:lineRule="exact"/>
        <w:ind w:left="0" w:firstLine="640" w:firstLineChars="200"/>
        <w:jc w:val="both"/>
        <w:textAlignment w:val="auto"/>
        <w:rPr>
          <w:rFonts w:eastAsia="方正楷体_GBK"/>
          <w:color w:val="000000" w:themeColor="text1"/>
          <w:lang w:val="en-US"/>
          <w14:textFill>
            <w14:solidFill>
              <w14:schemeClr w14:val="tx1"/>
            </w14:solidFill>
          </w14:textFill>
        </w:rPr>
      </w:pPr>
      <w:r>
        <w:rPr>
          <w:rFonts w:hint="eastAsia" w:ascii="方正仿宋_GBK" w:eastAsia="方正仿宋_GBK"/>
          <w:color w:val="000000"/>
          <w:sz w:val="32"/>
          <w:szCs w:val="32"/>
          <w:lang w:val="en-US"/>
        </w:rPr>
        <w:t>根据系统在实际场景中的应用价值，系统部署和维护的成本效益比进行打分，综合评定</w:t>
      </w:r>
      <w:r>
        <w:rPr>
          <w:rFonts w:hint="eastAsia" w:eastAsia="方正仿宋_GBK"/>
          <w:color w:val="000000" w:themeColor="text1"/>
          <w:sz w:val="32"/>
          <w:szCs w:val="32"/>
          <w:lang w:val="en-US"/>
          <w14:textFill>
            <w14:solidFill>
              <w14:schemeClr w14:val="tx1"/>
            </w14:solidFill>
          </w14:textFill>
        </w:rPr>
        <w:t>0-10</w:t>
      </w:r>
      <w:r>
        <w:rPr>
          <w:rFonts w:hint="eastAsia" w:ascii="方正仿宋_GBK" w:eastAsia="方正仿宋_GBK"/>
          <w:color w:val="000000"/>
          <w:sz w:val="32"/>
          <w:szCs w:val="32"/>
          <w:lang w:val="en-US"/>
        </w:rPr>
        <w:t>分。</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spacing w:line="560" w:lineRule="exact"/>
        <w:ind w:left="0" w:firstLine="640" w:firstLineChars="200"/>
        <w:jc w:val="both"/>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ascii="方正仿宋_GBK" w:eastAsia="方正仿宋_GBK"/>
          <w:color w:val="000000"/>
          <w:sz w:val="32"/>
          <w:szCs w:val="32"/>
          <w:lang w:val="en-US" w:eastAsia="zh-CN"/>
        </w:rPr>
        <w:t>”</w:t>
      </w:r>
      <w:r>
        <w:rPr>
          <w:rFonts w:hint="eastAsia" w:ascii="方正仿宋_GBK" w:eastAsia="方正仿宋_GBK"/>
          <w:color w:val="000000"/>
          <w:sz w:val="32"/>
          <w:szCs w:val="32"/>
          <w:lang w:val="en-US"/>
        </w:rPr>
        <w:t>竞赛组织协调机构</w:t>
      </w:r>
      <w:r>
        <w:rPr>
          <w:rFonts w:eastAsia="方正仿宋_GBK"/>
          <w:color w:val="000000" w:themeColor="text1"/>
          <w:sz w:val="32"/>
          <w:szCs w:val="32"/>
          <w:lang w:val="en-US"/>
          <w14:textFill>
            <w14:solidFill>
              <w14:schemeClr w14:val="tx1"/>
            </w14:solidFill>
          </w14:textFill>
        </w:rPr>
        <w:t>要</w:t>
      </w:r>
      <w:r>
        <w:rPr>
          <w:rFonts w:hint="eastAsia" w:ascii="方正仿宋_GBK" w:eastAsia="方正仿宋_GBK"/>
          <w:color w:val="000000"/>
          <w:sz w:val="32"/>
          <w:szCs w:val="32"/>
          <w:lang w:val="en-US"/>
        </w:rPr>
        <w:t>积极组织学生参赛，安排有关老师给予指导，为参赛团队提供支持保障</w:t>
      </w:r>
      <w:r>
        <w:rPr>
          <w:rFonts w:hint="eastAsia" w:ascii="方正仿宋_GBK" w:eastAsia="方正仿宋_GBK"/>
          <w:color w:val="000000"/>
          <w:sz w:val="32"/>
          <w:szCs w:val="32"/>
          <w:lang w:val="en-US" w:eastAsia="zh-CN"/>
        </w:rPr>
        <w:t>。</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14:textFill>
            <w14:solidFill>
              <w14:schemeClr w14:val="tx1"/>
            </w14:solidFill>
          </w14:textFill>
        </w:rPr>
        <w:t>5</w:t>
      </w:r>
      <w:r>
        <w:rPr>
          <w:rFonts w:eastAsia="方正仿宋_GBK"/>
          <w:color w:val="000000" w:themeColor="text1"/>
          <w:sz w:val="32"/>
          <w:szCs w:val="32"/>
          <w:lang w:val="en-US"/>
          <w14:textFill>
            <w14:solidFill>
              <w14:schemeClr w14:val="tx1"/>
            </w14:solidFill>
          </w14:textFill>
        </w:rPr>
        <w:t>日前，各参赛团队向组委会提交作品，具体提交要求详见作品提交方式。</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参赛报名及作品提交方式</w:t>
      </w:r>
    </w:p>
    <w:p>
      <w:pPr>
        <w:pStyle w:val="17"/>
        <w:pageBreakBefore w:val="0"/>
        <w:kinsoku/>
        <w:wordWrap/>
        <w:overflowPunct/>
        <w:topLinePunct w:val="0"/>
        <w:autoSpaceDE/>
        <w:autoSpaceDN/>
        <w:bidi w:val="0"/>
        <w:spacing w:line="560" w:lineRule="exact"/>
        <w:ind w:left="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 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ind w:left="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Cs w:val="32"/>
          <w14:textFill>
            <w14:solidFill>
              <w14:schemeClr w14:val="tx1"/>
            </w14:solidFill>
          </w14:textFill>
        </w:rPr>
        <w:t xml:space="preserve">2. </w:t>
      </w:r>
      <w:r>
        <w:rPr>
          <w:rFonts w:ascii="Times New Roman" w:hAnsi="Times New Roman"/>
          <w:color w:val="000000" w:themeColor="text1"/>
          <w14:textFill>
            <w14:solidFill>
              <w14:schemeClr w14:val="tx1"/>
            </w14:solidFill>
          </w14:textFill>
        </w:rPr>
        <w:t>具体作品提交方式</w:t>
      </w:r>
    </w:p>
    <w:p>
      <w:pPr>
        <w:pageBreakBefore w:val="0"/>
        <w:kinsoku/>
        <w:wordWrap/>
        <w:overflowPunct/>
        <w:topLinePunct w:val="0"/>
        <w:autoSpaceDE/>
        <w:autoSpaceDN/>
        <w:bidi w:val="0"/>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14:textFill>
            <w14:solidFill>
              <w14:schemeClr w14:val="tx1"/>
            </w14:solidFill>
          </w14:textFill>
        </w:rPr>
        <w:t>请将作品文档及程序以压缩包格式上传至联通云盘，将链接和提取码发送到邮箱hqs-tiaozhanbei@chinaunicom.cn</w:t>
      </w:r>
      <w:r>
        <w:rPr>
          <w:rFonts w:hint="eastAsia" w:eastAsia="方正仿宋_GBK"/>
          <w:bCs/>
          <w:color w:val="000000" w:themeColor="text1"/>
          <w:sz w:val="32"/>
          <w:szCs w:val="32"/>
          <w14:textFill>
            <w14:solidFill>
              <w14:schemeClr w14:val="tx1"/>
            </w14:solidFill>
          </w14:textFill>
        </w:rPr>
        <w:t>。</w:t>
      </w:r>
      <w:r>
        <w:rPr>
          <w:rFonts w:eastAsia="方正仿宋_GBK"/>
          <w:bCs/>
          <w:color w:val="000000" w:themeColor="text1"/>
          <w:sz w:val="32"/>
          <w:szCs w:val="32"/>
          <w14:textFill>
            <w14:solidFill>
              <w14:schemeClr w14:val="tx1"/>
            </w14:solidFill>
          </w14:textFill>
        </w:rPr>
        <w:t>压缩包名称格式：提报单位（学校全称）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p>
    <w:p>
      <w:pPr>
        <w:pageBreakBefore w:val="0"/>
        <w:kinsoku/>
        <w:wordWrap/>
        <w:overflowPunct/>
        <w:topLinePunct w:val="0"/>
        <w:autoSpaceDE/>
        <w:autoSpaceDN/>
        <w:bidi w:val="0"/>
        <w:spacing w:line="560" w:lineRule="exact"/>
        <w:ind w:left="0" w:firstLine="640" w:firstLineChars="200"/>
        <w:textAlignment w:val="auto"/>
        <w:rPr>
          <w:rFonts w:eastAsia="方正仿宋_GBK"/>
          <w:bCs/>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本单位在参赛团队完成相关审核等程序后可提供参观</w:t>
      </w:r>
      <w:r>
        <w:rPr>
          <w:rFonts w:hint="eastAsia" w:eastAsia="方正仿宋_GBK"/>
          <w:color w:val="000000" w:themeColor="text1"/>
          <w:sz w:val="32"/>
          <w:szCs w:val="32"/>
          <w:lang w:val="en-US" w:eastAsia="zh-CN"/>
          <w14:textFill>
            <w14:solidFill>
              <w14:schemeClr w14:val="tx1"/>
            </w14:solidFill>
          </w14:textFill>
        </w:rPr>
        <w:t>调研</w:t>
      </w:r>
      <w:r>
        <w:rPr>
          <w:rFonts w:eastAsia="方正仿宋_GBK"/>
          <w:color w:val="000000" w:themeColor="text1"/>
          <w:sz w:val="32"/>
          <w:szCs w:val="32"/>
          <w:lang w:val="en-US"/>
          <w14:textFill>
            <w14:solidFill>
              <w14:schemeClr w14:val="tx1"/>
            </w14:solidFill>
          </w14:textFill>
        </w:rPr>
        <w:t>的机会。</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本单位将为此次比赛组建</w:t>
      </w:r>
      <w:r>
        <w:rPr>
          <w:rFonts w:hint="default" w:eastAsia="方正仿宋_GBK"/>
          <w:color w:val="000000" w:themeColor="text1"/>
          <w:sz w:val="32"/>
          <w:szCs w:val="32"/>
          <w:lang w:val="en-US"/>
          <w14:textFill>
            <w14:solidFill>
              <w14:schemeClr w14:val="tx1"/>
            </w14:solidFill>
          </w14:textFill>
        </w:rPr>
        <w:t>专家指导团队</w:t>
      </w:r>
      <w:r>
        <w:rPr>
          <w:rFonts w:eastAsia="方正仿宋_GBK"/>
          <w:color w:val="000000" w:themeColor="text1"/>
          <w:sz w:val="32"/>
          <w:szCs w:val="32"/>
          <w:lang w:val="en-US"/>
          <w14:textFill>
            <w14:solidFill>
              <w14:schemeClr w14:val="tx1"/>
            </w14:solidFill>
          </w14:textFill>
        </w:rPr>
        <w:t>，同时还将为每个参赛团队指定一名辅导老师，辅导老师由本单位专业技术人员组成，并在参赛团队完成报名后予以明确。</w:t>
      </w:r>
    </w:p>
    <w:p>
      <w:pPr>
        <w:pStyle w:val="3"/>
        <w:pageBreakBefore w:val="0"/>
        <w:kinsoku/>
        <w:wordWrap/>
        <w:overflowPunct/>
        <w:topLinePunct w:val="0"/>
        <w:autoSpaceDE/>
        <w:autoSpaceDN/>
        <w:bidi w:val="0"/>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设奖情况及奖励措施</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根据评分规则，综合评定参赛队伍。原则上设</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1个（从</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特等奖</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中产生），特等奖5个，一等奖5个，二等奖5个，三等奖5个。</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eastAsia="zh-CN"/>
          <w14:textFill>
            <w14:solidFill>
              <w14:schemeClr w14:val="tx1"/>
            </w14:solidFill>
          </w14:textFill>
        </w:rPr>
        <w:t>特等奖基础上额外奖励</w:t>
      </w:r>
      <w:r>
        <w:rPr>
          <w:rFonts w:eastAsia="方正仿宋_GBK"/>
          <w:color w:val="000000" w:themeColor="text1"/>
          <w:sz w:val="32"/>
          <w:szCs w:val="32"/>
          <w:lang w:val="en-US"/>
          <w14:textFill>
            <w14:solidFill>
              <w14:schemeClr w14:val="tx1"/>
            </w14:solidFill>
          </w14:textFill>
        </w:rPr>
        <w:t>10万元，团队全部成员</w:t>
      </w:r>
      <w:r>
        <w:rPr>
          <w:rFonts w:hint="default" w:eastAsia="方正仿宋_GBK"/>
          <w:color w:val="000000" w:themeColor="text1"/>
          <w:sz w:val="32"/>
          <w:szCs w:val="32"/>
          <w:lang w:val="en-US"/>
          <w14:textFill>
            <w14:solidFill>
              <w14:schemeClr w14:val="tx1"/>
            </w14:solidFill>
          </w14:textFill>
        </w:rPr>
        <w:t>有资格被</w:t>
      </w:r>
      <w:r>
        <w:rPr>
          <w:rFonts w:eastAsia="方正仿宋_GBK"/>
          <w:color w:val="000000" w:themeColor="text1"/>
          <w:sz w:val="32"/>
          <w:szCs w:val="32"/>
          <w:lang w:val="en-US"/>
          <w14:textFill>
            <w14:solidFill>
              <w14:schemeClr w14:val="tx1"/>
            </w14:solidFill>
          </w14:textFill>
        </w:rPr>
        <w:t>录用为中国联通集团下属单位带薪实习生。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特等奖</w:t>
      </w:r>
      <w:r>
        <w:rPr>
          <w:rFonts w:ascii="方正仿宋_GBK" w:eastAsia="方正仿宋_GBK"/>
          <w:color w:val="000000"/>
          <w:sz w:val="32"/>
          <w:szCs w:val="32"/>
        </w:rPr>
        <w:t>：</w:t>
      </w:r>
      <w:r>
        <w:rPr>
          <w:rFonts w:eastAsia="方正仿宋_GBK"/>
          <w:color w:val="000000" w:themeColor="text1"/>
          <w:sz w:val="32"/>
          <w:szCs w:val="32"/>
          <w:lang w:val="en-US"/>
          <w14:textFill>
            <w14:solidFill>
              <w14:schemeClr w14:val="tx1"/>
            </w14:solidFill>
          </w14:textFill>
        </w:rPr>
        <w:t>奖金3万元，团队主要负责人（</w:t>
      </w:r>
      <w:r>
        <w:rPr>
          <w:rFonts w:hint="eastAsia" w:eastAsia="方正仿宋_GBK"/>
          <w:color w:val="000000" w:themeColor="text1"/>
          <w:sz w:val="32"/>
          <w:szCs w:val="32"/>
          <w:lang w:val="en-US"/>
          <w14:textFill>
            <w14:solidFill>
              <w14:schemeClr w14:val="tx1"/>
            </w14:solidFill>
          </w14:textFill>
        </w:rPr>
        <w:t>2</w:t>
      </w:r>
      <w:r>
        <w:rPr>
          <w:rFonts w:eastAsia="方正仿宋_GBK"/>
          <w:color w:val="000000" w:themeColor="text1"/>
          <w:sz w:val="32"/>
          <w:szCs w:val="32"/>
          <w:lang w:val="en-US"/>
          <w14:textFill>
            <w14:solidFill>
              <w14:schemeClr w14:val="tx1"/>
            </w14:solidFill>
          </w14:textFill>
        </w:rPr>
        <w:t>名）</w:t>
      </w:r>
      <w:r>
        <w:rPr>
          <w:rFonts w:hint="default" w:eastAsia="方正仿宋_GBK"/>
          <w:color w:val="000000" w:themeColor="text1"/>
          <w:sz w:val="32"/>
          <w:szCs w:val="32"/>
          <w:lang w:val="en-US"/>
          <w14:textFill>
            <w14:solidFill>
              <w14:schemeClr w14:val="tx1"/>
            </w14:solidFill>
          </w14:textFill>
        </w:rPr>
        <w:t>有资格被</w:t>
      </w:r>
      <w:r>
        <w:rPr>
          <w:rFonts w:eastAsia="方正仿宋_GBK"/>
          <w:color w:val="000000" w:themeColor="text1"/>
          <w:sz w:val="32"/>
          <w:szCs w:val="32"/>
          <w:lang w:val="en-US"/>
          <w14:textFill>
            <w14:solidFill>
              <w14:schemeClr w14:val="tx1"/>
            </w14:solidFill>
          </w14:textFill>
        </w:rPr>
        <w:t>录用为中国联通集团下属单位带薪实习生。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一等奖</w:t>
      </w:r>
      <w:r>
        <w:rPr>
          <w:rFonts w:ascii="方正仿宋_GBK" w:eastAsia="方正仿宋_GBK"/>
          <w:color w:val="000000"/>
          <w:sz w:val="32"/>
          <w:szCs w:val="32"/>
        </w:rPr>
        <w:t>：</w:t>
      </w:r>
      <w:r>
        <w:rPr>
          <w:rFonts w:eastAsia="方正仿宋_GBK"/>
          <w:color w:val="000000" w:themeColor="text1"/>
          <w:sz w:val="32"/>
          <w:szCs w:val="32"/>
          <w:lang w:val="en-US"/>
          <w14:textFill>
            <w14:solidFill>
              <w14:schemeClr w14:val="tx1"/>
            </w14:solidFill>
          </w14:textFill>
        </w:rPr>
        <w:t>奖金2万元，团队主要负责人（1名）</w:t>
      </w:r>
      <w:r>
        <w:rPr>
          <w:rFonts w:hint="default" w:eastAsia="方正仿宋_GBK"/>
          <w:color w:val="000000" w:themeColor="text1"/>
          <w:sz w:val="32"/>
          <w:szCs w:val="32"/>
          <w:lang w:val="en-US"/>
          <w14:textFill>
            <w14:solidFill>
              <w14:schemeClr w14:val="tx1"/>
            </w14:solidFill>
          </w14:textFill>
        </w:rPr>
        <w:t>有资格被</w:t>
      </w:r>
      <w:r>
        <w:rPr>
          <w:rFonts w:eastAsia="方正仿宋_GBK"/>
          <w:color w:val="000000" w:themeColor="text1"/>
          <w:sz w:val="32"/>
          <w:szCs w:val="32"/>
          <w:lang w:val="en-US"/>
          <w14:textFill>
            <w14:solidFill>
              <w14:schemeClr w14:val="tx1"/>
            </w14:solidFill>
          </w14:textFill>
        </w:rPr>
        <w:t>录用为中国联通集团下属单位带薪实习生。</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二</w:t>
      </w:r>
      <w:r>
        <w:rPr>
          <w:rFonts w:eastAsia="方正仿宋_GBK"/>
          <w:color w:val="000000" w:themeColor="text1"/>
          <w:sz w:val="32"/>
          <w:szCs w:val="32"/>
          <w:lang w:val="en-US"/>
          <w14:textFill>
            <w14:solidFill>
              <w14:schemeClr w14:val="tx1"/>
            </w14:solidFill>
          </w14:textFill>
        </w:rPr>
        <w:t>等奖</w:t>
      </w:r>
      <w:r>
        <w:rPr>
          <w:rFonts w:ascii="方正仿宋_GBK" w:eastAsia="方正仿宋_GBK"/>
          <w:color w:val="000000"/>
          <w:sz w:val="32"/>
          <w:szCs w:val="32"/>
        </w:rPr>
        <w:t>：</w:t>
      </w:r>
      <w:r>
        <w:rPr>
          <w:rFonts w:eastAsia="方正仿宋_GBK"/>
          <w:color w:val="000000" w:themeColor="text1"/>
          <w:sz w:val="32"/>
          <w:szCs w:val="32"/>
          <w:lang w:val="en-US"/>
          <w14:textFill>
            <w14:solidFill>
              <w14:schemeClr w14:val="tx1"/>
            </w14:solidFill>
          </w14:textFill>
        </w:rPr>
        <w:t>奖金</w:t>
      </w:r>
      <w:r>
        <w:rPr>
          <w:rFonts w:hint="eastAsia" w:eastAsia="方正仿宋_GBK"/>
          <w:color w:val="000000" w:themeColor="text1"/>
          <w:sz w:val="32"/>
          <w:szCs w:val="32"/>
          <w:lang w:val="en-US" w:eastAsia="zh-CN"/>
          <w14:textFill>
            <w14:solidFill>
              <w14:schemeClr w14:val="tx1"/>
            </w14:solidFill>
          </w14:textFill>
        </w:rPr>
        <w:t>1</w:t>
      </w:r>
      <w:r>
        <w:rPr>
          <w:rFonts w:eastAsia="方正仿宋_GBK"/>
          <w:color w:val="000000" w:themeColor="text1"/>
          <w:sz w:val="32"/>
          <w:szCs w:val="32"/>
          <w:lang w:val="en-US"/>
          <w14:textFill>
            <w14:solidFill>
              <w14:schemeClr w14:val="tx1"/>
            </w14:solidFill>
          </w14:textFill>
        </w:rPr>
        <w:t>万元，团队主要负责人（1名）</w:t>
      </w:r>
      <w:r>
        <w:rPr>
          <w:rFonts w:hint="default" w:eastAsia="方正仿宋_GBK"/>
          <w:color w:val="000000" w:themeColor="text1"/>
          <w:sz w:val="32"/>
          <w:szCs w:val="32"/>
          <w:lang w:val="en-US"/>
          <w14:textFill>
            <w14:solidFill>
              <w14:schemeClr w14:val="tx1"/>
            </w14:solidFill>
          </w14:textFill>
        </w:rPr>
        <w:t>有资格被</w:t>
      </w:r>
      <w:r>
        <w:rPr>
          <w:rFonts w:eastAsia="方正仿宋_GBK"/>
          <w:color w:val="000000" w:themeColor="text1"/>
          <w:sz w:val="32"/>
          <w:szCs w:val="32"/>
          <w:lang w:val="en-US"/>
          <w14:textFill>
            <w14:solidFill>
              <w14:schemeClr w14:val="tx1"/>
            </w14:solidFill>
          </w14:textFill>
        </w:rPr>
        <w:t>录用为中国联通集团下属单位带薪实习生。</w:t>
      </w:r>
    </w:p>
    <w:p>
      <w:pPr>
        <w:pageBreakBefore w:val="0"/>
        <w:kinsoku/>
        <w:wordWrap/>
        <w:overflowPunct/>
        <w:topLinePunct w:val="0"/>
        <w:autoSpaceDE/>
        <w:autoSpaceDN/>
        <w:bidi w:val="0"/>
        <w:spacing w:line="560" w:lineRule="exact"/>
        <w:ind w:left="0" w:firstLine="664" w:firstLineChars="200"/>
        <w:jc w:val="both"/>
        <w:textAlignment w:val="auto"/>
        <w:rPr>
          <w:rFonts w:ascii="方正仿宋_GBK" w:eastAsia="方正仿宋_GBK"/>
          <w:bCs/>
          <w:color w:val="000000"/>
          <w:spacing w:val="6"/>
          <w:sz w:val="32"/>
          <w:szCs w:val="32"/>
        </w:rPr>
      </w:pPr>
      <w:r>
        <w:rPr>
          <w:rFonts w:ascii="方正仿宋_GBK" w:eastAsia="方正仿宋_GBK"/>
          <w:bCs/>
          <w:color w:val="000000"/>
          <w:spacing w:val="6"/>
          <w:sz w:val="32"/>
          <w:szCs w:val="32"/>
        </w:rPr>
        <w:t>三等奖</w:t>
      </w:r>
      <w:r>
        <w:rPr>
          <w:rFonts w:ascii="方正仿宋_GBK" w:eastAsia="方正仿宋_GBK"/>
          <w:color w:val="000000"/>
          <w:sz w:val="32"/>
          <w:szCs w:val="32"/>
        </w:rPr>
        <w:t>：</w:t>
      </w:r>
      <w:r>
        <w:rPr>
          <w:rFonts w:ascii="方正仿宋_GBK" w:eastAsia="方正仿宋_GBK"/>
          <w:bCs/>
          <w:color w:val="000000"/>
          <w:spacing w:val="6"/>
          <w:sz w:val="32"/>
          <w:szCs w:val="32"/>
        </w:rPr>
        <w:t>奖金</w:t>
      </w:r>
      <w:r>
        <w:rPr>
          <w:rFonts w:hint="default" w:ascii="Times New Roman" w:hAnsi="Times New Roman" w:eastAsia="方正仿宋_GBK" w:cs="Times New Roman"/>
          <w:bCs/>
          <w:color w:val="000000"/>
          <w:spacing w:val="6"/>
          <w:sz w:val="32"/>
          <w:szCs w:val="32"/>
          <w:lang w:eastAsia="zh-CN"/>
        </w:rPr>
        <w:t>5</w:t>
      </w:r>
      <w:r>
        <w:rPr>
          <w:rFonts w:hint="eastAsia" w:ascii="方正仿宋_GBK" w:eastAsia="方正仿宋_GBK"/>
          <w:bCs/>
          <w:color w:val="000000"/>
          <w:spacing w:val="6"/>
          <w:sz w:val="32"/>
          <w:szCs w:val="32"/>
          <w:lang w:eastAsia="zh-CN"/>
        </w:rPr>
        <w:t>千元</w:t>
      </w:r>
      <w:r>
        <w:rPr>
          <w:rFonts w:ascii="方正仿宋_GBK" w:eastAsia="方正仿宋_GBK"/>
          <w:bCs/>
          <w:color w:val="000000"/>
          <w:spacing w:val="6"/>
          <w:sz w:val="32"/>
          <w:szCs w:val="32"/>
        </w:rPr>
        <w:t>，团队主要负责人（</w:t>
      </w:r>
      <w:r>
        <w:rPr>
          <w:rFonts w:eastAsia="方正仿宋_GBK"/>
          <w:color w:val="000000" w:themeColor="text1"/>
          <w:sz w:val="32"/>
          <w:szCs w:val="32"/>
          <w:lang w:val="en-US"/>
          <w14:textFill>
            <w14:solidFill>
              <w14:schemeClr w14:val="tx1"/>
            </w14:solidFill>
          </w14:textFill>
        </w:rPr>
        <w:t>1</w:t>
      </w:r>
      <w:r>
        <w:rPr>
          <w:rFonts w:ascii="方正仿宋_GBK" w:eastAsia="方正仿宋_GBK"/>
          <w:bCs/>
          <w:color w:val="000000"/>
          <w:spacing w:val="6"/>
          <w:sz w:val="32"/>
          <w:szCs w:val="32"/>
        </w:rPr>
        <w:t>名）</w:t>
      </w:r>
      <w:r>
        <w:rPr>
          <w:rFonts w:hint="default" w:ascii="方正仿宋_GBK" w:eastAsia="方正仿宋_GBK"/>
          <w:bCs/>
          <w:color w:val="000000"/>
          <w:spacing w:val="6"/>
          <w:sz w:val="32"/>
          <w:szCs w:val="32"/>
        </w:rPr>
        <w:t>有资格被</w:t>
      </w:r>
      <w:r>
        <w:rPr>
          <w:rFonts w:ascii="方正仿宋_GBK" w:eastAsia="方正仿宋_GBK"/>
          <w:bCs/>
          <w:color w:val="000000"/>
          <w:spacing w:val="6"/>
          <w:sz w:val="32"/>
          <w:szCs w:val="32"/>
        </w:rPr>
        <w:t>录用为中国联通集团下属单位带薪实习生。</w:t>
      </w:r>
    </w:p>
    <w:p>
      <w:pPr>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r>
        <w:rPr>
          <w:rFonts w:ascii="方正仿宋_GBK" w:eastAsia="方正仿宋_GBK"/>
          <w:bCs/>
          <w:color w:val="000000"/>
          <w:spacing w:val="6"/>
          <w:sz w:val="32"/>
          <w:szCs w:val="32"/>
        </w:rPr>
        <w:t>实习岗位</w:t>
      </w:r>
      <w:r>
        <w:rPr>
          <w:rFonts w:hint="eastAsia" w:eastAsia="方正仿宋_GBK"/>
          <w:color w:val="000000" w:themeColor="text1"/>
          <w:sz w:val="32"/>
          <w:szCs w:val="32"/>
          <w:lang w:val="en-US" w:eastAsia="zh-CN"/>
          <w14:textFill>
            <w14:solidFill>
              <w14:schemeClr w14:val="tx1"/>
            </w14:solidFill>
          </w14:textFill>
        </w:rPr>
        <w:t>3</w:t>
      </w:r>
      <w:r>
        <w:rPr>
          <w:rFonts w:ascii="方正仿宋_GBK" w:eastAsia="方正仿宋_GBK"/>
          <w:bCs/>
          <w:color w:val="000000"/>
          <w:spacing w:val="6"/>
          <w:sz w:val="32"/>
          <w:szCs w:val="32"/>
        </w:rPr>
        <w:t>个月内签约。全部获奖团队中应届毕业生参与中国联通校园招聘时，符合应聘条件者，直通进入面试环节，同等条件下可优先录用。</w:t>
      </w:r>
    </w:p>
    <w:p>
      <w:pPr>
        <w:pStyle w:val="3"/>
        <w:pageBreakBefore w:val="0"/>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5"/>
        </w:numPr>
        <w:kinsoku/>
        <w:wordWrap/>
        <w:overflowPunct/>
        <w:topLinePunct w:val="0"/>
        <w:autoSpaceDE/>
        <w:autoSpaceDN/>
        <w:bidi w:val="0"/>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曹</w:t>
      </w:r>
      <w:r>
        <w:rPr>
          <w:rFonts w:eastAsia="方正仿宋_GBK"/>
          <w:color w:val="000000" w:themeColor="text1"/>
          <w:sz w:val="32"/>
          <w:szCs w:val="32"/>
          <w:lang w:val="en-US"/>
          <w14:textFill>
            <w14:solidFill>
              <w14:schemeClr w14:val="tx1"/>
            </w14:solidFill>
          </w14:textFill>
        </w:rPr>
        <w:t>老师，联系方式：15652856264</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5"/>
        </w:numPr>
        <w:kinsoku/>
        <w:wordWrap/>
        <w:overflowPunct/>
        <w:topLinePunct w:val="0"/>
        <w:autoSpaceDE/>
        <w:autoSpaceDN/>
        <w:bidi w:val="0"/>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于</w:t>
      </w:r>
      <w:r>
        <w:rPr>
          <w:rFonts w:eastAsia="方正仿宋_GBK"/>
          <w:color w:val="000000" w:themeColor="text1"/>
          <w:sz w:val="32"/>
          <w:szCs w:val="32"/>
          <w:lang w:val="en-US"/>
          <w14:textFill>
            <w14:solidFill>
              <w14:schemeClr w14:val="tx1"/>
            </w14:solidFill>
          </w14:textFill>
        </w:rPr>
        <w:t>老师，联系方式：18601100600</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5"/>
        </w:numPr>
        <w:kinsoku/>
        <w:wordWrap/>
        <w:overflowPunct/>
        <w:topLinePunct w:val="0"/>
        <w:autoSpaceDE/>
        <w:autoSpaceDN/>
        <w:bidi w:val="0"/>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w:t>
      </w:r>
      <w:r>
        <w:rPr>
          <w:rFonts w:hint="eastAsia" w:eastAsia="方正仿宋_GBK"/>
          <w:color w:val="000000" w:themeColor="text1"/>
          <w:sz w:val="32"/>
          <w:szCs w:val="32"/>
          <w:lang w:val="en-US"/>
          <w14:textFill>
            <w14:solidFill>
              <w14:schemeClr w14:val="tx1"/>
            </w14:solidFill>
          </w14:textFill>
        </w:rPr>
        <w:t>8:30</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18:00</w:t>
      </w:r>
      <w:r>
        <w:rPr>
          <w:rFonts w:eastAsia="方正仿宋_GBK"/>
          <w:color w:val="000000" w:themeColor="text1"/>
          <w:sz w:val="32"/>
          <w:szCs w:val="32"/>
          <w:lang w:val="en-US"/>
          <w14:textFill>
            <w14:solidFill>
              <w14:schemeClr w14:val="tx1"/>
            </w14:solidFill>
          </w14:textFill>
        </w:rPr>
        <w:t>）</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bookmarkStart w:id="0" w:name="_GoBack"/>
      <w:bookmarkEnd w:id="0"/>
    </w:p>
    <w:p>
      <w:pPr>
        <w:pStyle w:val="3"/>
        <w:numPr>
          <w:ilvl w:val="255"/>
          <w:numId w:val="0"/>
        </w:numPr>
        <w:jc w:val="right"/>
        <w:rPr>
          <w:rFonts w:ascii="Times New Roman" w:hAnsi="Times New Roman" w:eastAsia="方正仿宋简体"/>
          <w:color w:val="000000" w:themeColor="text1"/>
          <w:lang w:val="en-US"/>
          <w14:textFill>
            <w14:solidFill>
              <w14:schemeClr w14:val="tx1"/>
            </w14:solidFill>
          </w14:textFill>
        </w:rPr>
      </w:pPr>
      <w:r>
        <w:rPr>
          <w:rFonts w:ascii="Times New Roman" w:hAnsi="Times New Roman" w:eastAsia="方正仿宋简体"/>
          <w:color w:val="000000" w:themeColor="text1"/>
          <w:lang w:val="en-US"/>
          <w14:textFill>
            <w14:solidFill>
              <w14:schemeClr w14:val="tx1"/>
            </w14:solidFill>
          </w14:textFill>
        </w:rPr>
        <w:t>中国联合网络通信集团有限公司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pgNumType w:fmt="decimal"/>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中国联合网络通信集团有限公司（简称</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中国联通</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在国内31个省（自治区、直辖市）和境外多个国家和地区设有分支机构，拥有覆盖全国、通达世界的现代通信网络和全球客户服务体系，在2023年《财富》世界500强中位列第267位。作为支撑党政军系统、各行各业、广大人民群众的基础通信企业，中国联通在国民经济中具有基础性、支柱性、战略性、先导性的基本功能与地位作用，具有技术密集、全程全网、规模经济、服务经济社会与民生的特征与属性。</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中国联通坚持扎根网信事业，践行央企使命，全面增强核心功能、提高核心竞争力，更好服务网络强国和数字中国建设、保障国家网络和信息安全，担当数字信息运营服务国家队和数字技术融合创新排头兵，充分发挥科技创新、产业控制、安全支撑作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为迈向具有全球竞争力的世界一流科技服务企业，中国联通扎实推进联网通信、算网数智两类主营业务，全面建设广度、厚度、深度行业一流的智能化综合性数字信息基础设施，为经济社会发展畅通信息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大动脉</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、构筑数字新底座，以技术领先、高度集成的</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全覆盖、全在线、全云化、绿色化、一站式</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数字化服务，助力千行百业</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上云用数赋智</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，促进数字经济发展和信息消费升级，切实增强广大用户对信息通信服务的满意度和获得感，让全社会进一步共享信息通信发展新成果。</w:t>
      </w:r>
    </w:p>
    <w:sectPr>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方正仿宋_GBK"/>
    <w:panose1 w:val="020B0604020202020204"/>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FCF5C7EE-F2B3-429C-87B6-82CAC9C22A50}"/>
  </w:font>
  <w:font w:name="方正黑体_GBK">
    <w:panose1 w:val="02000000000000000000"/>
    <w:charset w:val="86"/>
    <w:family w:val="script"/>
    <w:pitch w:val="default"/>
    <w:sig w:usb0="A00002BF" w:usb1="38CF7CFA" w:usb2="00082016" w:usb3="00000000" w:csb0="00040001" w:csb1="00000000"/>
    <w:embedRegular r:id="rId2" w:fontKey="{0AA78026-A446-4A65-9EAC-E7A1F6960429}"/>
  </w:font>
  <w:font w:name="方正仿宋简体">
    <w:panose1 w:val="02000000000000000000"/>
    <w:charset w:val="86"/>
    <w:family w:val="auto"/>
    <w:pitch w:val="default"/>
    <w:sig w:usb0="A00002BF" w:usb1="184F6CFA" w:usb2="00000012" w:usb3="00000000" w:csb0="00040001" w:csb1="00000000"/>
    <w:embedRegular r:id="rId3" w:fontKey="{E654D609-3577-4FC3-9300-0036AB1099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1">
    <w:nsid w:val="52994999"/>
    <w:multiLevelType w:val="singleLevel"/>
    <w:tmpl w:val="52994999"/>
    <w:lvl w:ilvl="0" w:tentative="0">
      <w:start w:val="1"/>
      <w:numFmt w:val="decimal"/>
      <w:pStyle w:val="4"/>
      <w:suff w:val="space"/>
      <w:lvlText w:val="%1."/>
      <w:lvlJc w:val="left"/>
      <w:pPr>
        <w:ind w:left="534" w:hanging="454"/>
      </w:pPr>
      <w:rPr>
        <w:rFonts w:hint="default" w:eastAsia="方正仿宋楷体"/>
        <w:sz w:val="32"/>
        <w:szCs w:val="32"/>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A6775"/>
    <w:rsid w:val="000D57EF"/>
    <w:rsid w:val="0010211D"/>
    <w:rsid w:val="0011069F"/>
    <w:rsid w:val="00111E5D"/>
    <w:rsid w:val="00120156"/>
    <w:rsid w:val="001367A9"/>
    <w:rsid w:val="00143054"/>
    <w:rsid w:val="001579F2"/>
    <w:rsid w:val="00164C26"/>
    <w:rsid w:val="0016564C"/>
    <w:rsid w:val="001B0D74"/>
    <w:rsid w:val="001B2C6C"/>
    <w:rsid w:val="001C0DFA"/>
    <w:rsid w:val="001D0729"/>
    <w:rsid w:val="001D2D6D"/>
    <w:rsid w:val="001E760D"/>
    <w:rsid w:val="001E77C2"/>
    <w:rsid w:val="001F6CC8"/>
    <w:rsid w:val="0020086A"/>
    <w:rsid w:val="00204832"/>
    <w:rsid w:val="00205E3B"/>
    <w:rsid w:val="00236E3E"/>
    <w:rsid w:val="002560B0"/>
    <w:rsid w:val="00281AE9"/>
    <w:rsid w:val="00283877"/>
    <w:rsid w:val="002938E3"/>
    <w:rsid w:val="002B0D40"/>
    <w:rsid w:val="002B6DDC"/>
    <w:rsid w:val="002E7BFD"/>
    <w:rsid w:val="002F7D9C"/>
    <w:rsid w:val="00341051"/>
    <w:rsid w:val="00351403"/>
    <w:rsid w:val="00354FAF"/>
    <w:rsid w:val="00363E2D"/>
    <w:rsid w:val="00371816"/>
    <w:rsid w:val="00392185"/>
    <w:rsid w:val="0039481F"/>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5F7433"/>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5C33"/>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B43EC"/>
    <w:rsid w:val="008C4B94"/>
    <w:rsid w:val="008E3EE3"/>
    <w:rsid w:val="008F2FB1"/>
    <w:rsid w:val="00912ADC"/>
    <w:rsid w:val="00917F07"/>
    <w:rsid w:val="00923192"/>
    <w:rsid w:val="00931DCA"/>
    <w:rsid w:val="0093518D"/>
    <w:rsid w:val="00937CB6"/>
    <w:rsid w:val="00953BA4"/>
    <w:rsid w:val="00954857"/>
    <w:rsid w:val="009632E8"/>
    <w:rsid w:val="00966187"/>
    <w:rsid w:val="009775AD"/>
    <w:rsid w:val="00987542"/>
    <w:rsid w:val="00995541"/>
    <w:rsid w:val="00996802"/>
    <w:rsid w:val="009A5F81"/>
    <w:rsid w:val="00A0235C"/>
    <w:rsid w:val="00A22759"/>
    <w:rsid w:val="00A30D68"/>
    <w:rsid w:val="00A31A98"/>
    <w:rsid w:val="00A320F5"/>
    <w:rsid w:val="00A4232F"/>
    <w:rsid w:val="00A43480"/>
    <w:rsid w:val="00A460CE"/>
    <w:rsid w:val="00AA7BD8"/>
    <w:rsid w:val="00AB1BF4"/>
    <w:rsid w:val="00AD025A"/>
    <w:rsid w:val="00AD24CF"/>
    <w:rsid w:val="00AD6CFA"/>
    <w:rsid w:val="00AE66B7"/>
    <w:rsid w:val="00B0258C"/>
    <w:rsid w:val="00B32E7F"/>
    <w:rsid w:val="00B40CAF"/>
    <w:rsid w:val="00B52CCC"/>
    <w:rsid w:val="00B70A95"/>
    <w:rsid w:val="00B80EC7"/>
    <w:rsid w:val="00BA70BA"/>
    <w:rsid w:val="00BC1B59"/>
    <w:rsid w:val="00BE634B"/>
    <w:rsid w:val="00BF4E2D"/>
    <w:rsid w:val="00C217F1"/>
    <w:rsid w:val="00C24C93"/>
    <w:rsid w:val="00C60328"/>
    <w:rsid w:val="00C678B8"/>
    <w:rsid w:val="00C80275"/>
    <w:rsid w:val="00C81301"/>
    <w:rsid w:val="00C82B11"/>
    <w:rsid w:val="00C90F03"/>
    <w:rsid w:val="00C97BA0"/>
    <w:rsid w:val="00CB5FAC"/>
    <w:rsid w:val="00D05DE3"/>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67C4"/>
    <w:rsid w:val="00E13134"/>
    <w:rsid w:val="00E30024"/>
    <w:rsid w:val="00E46C70"/>
    <w:rsid w:val="00E47733"/>
    <w:rsid w:val="00E5011B"/>
    <w:rsid w:val="00E524CD"/>
    <w:rsid w:val="00E65FC6"/>
    <w:rsid w:val="00E72C07"/>
    <w:rsid w:val="00E909FD"/>
    <w:rsid w:val="00EA0B44"/>
    <w:rsid w:val="00EA697C"/>
    <w:rsid w:val="00EB1E9B"/>
    <w:rsid w:val="00EB2BDB"/>
    <w:rsid w:val="00EB4B20"/>
    <w:rsid w:val="00EF3C50"/>
    <w:rsid w:val="00F1317D"/>
    <w:rsid w:val="00F256C4"/>
    <w:rsid w:val="00F26931"/>
    <w:rsid w:val="00F57CAE"/>
    <w:rsid w:val="00F70F5B"/>
    <w:rsid w:val="00F74A1C"/>
    <w:rsid w:val="00F75202"/>
    <w:rsid w:val="00F910DA"/>
    <w:rsid w:val="00FA1D99"/>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142F23"/>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0FDE95F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303DC"/>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7FB26D"/>
    <w:rsid w:val="1AD27C6F"/>
    <w:rsid w:val="1B24668A"/>
    <w:rsid w:val="1BDFF2B8"/>
    <w:rsid w:val="1BED1E2C"/>
    <w:rsid w:val="1C612DAD"/>
    <w:rsid w:val="1D2D60B2"/>
    <w:rsid w:val="1D38309B"/>
    <w:rsid w:val="1D3B0FE4"/>
    <w:rsid w:val="1D435FFF"/>
    <w:rsid w:val="1D540A00"/>
    <w:rsid w:val="1DA327A0"/>
    <w:rsid w:val="1DA67191"/>
    <w:rsid w:val="1DBC4027"/>
    <w:rsid w:val="1E504BF2"/>
    <w:rsid w:val="1EA907D1"/>
    <w:rsid w:val="1F066139"/>
    <w:rsid w:val="1F3C04FF"/>
    <w:rsid w:val="1F762BAF"/>
    <w:rsid w:val="1FBEF9B6"/>
    <w:rsid w:val="20123648"/>
    <w:rsid w:val="21DA0F90"/>
    <w:rsid w:val="21FD6C01"/>
    <w:rsid w:val="22463DDE"/>
    <w:rsid w:val="227E692E"/>
    <w:rsid w:val="22881F58"/>
    <w:rsid w:val="22E55DA3"/>
    <w:rsid w:val="231F12DE"/>
    <w:rsid w:val="23531B69"/>
    <w:rsid w:val="23835AF5"/>
    <w:rsid w:val="23991047"/>
    <w:rsid w:val="23B107E7"/>
    <w:rsid w:val="23B940CE"/>
    <w:rsid w:val="23FFC9DE"/>
    <w:rsid w:val="242F1397"/>
    <w:rsid w:val="25324A72"/>
    <w:rsid w:val="254C6200"/>
    <w:rsid w:val="2604714B"/>
    <w:rsid w:val="26680B0E"/>
    <w:rsid w:val="276607BD"/>
    <w:rsid w:val="27707807"/>
    <w:rsid w:val="277E3A4E"/>
    <w:rsid w:val="29095901"/>
    <w:rsid w:val="290F58EC"/>
    <w:rsid w:val="29712213"/>
    <w:rsid w:val="2A641BAA"/>
    <w:rsid w:val="2A85768A"/>
    <w:rsid w:val="2AFF1766"/>
    <w:rsid w:val="2B0E3A48"/>
    <w:rsid w:val="2B2B347E"/>
    <w:rsid w:val="2B5841C1"/>
    <w:rsid w:val="2B9C2019"/>
    <w:rsid w:val="2BC2788C"/>
    <w:rsid w:val="2BE61BF3"/>
    <w:rsid w:val="2BE63207"/>
    <w:rsid w:val="2BED05B2"/>
    <w:rsid w:val="2BFD418F"/>
    <w:rsid w:val="2C112589"/>
    <w:rsid w:val="2C131DD6"/>
    <w:rsid w:val="2C1B5B53"/>
    <w:rsid w:val="2CB41BCC"/>
    <w:rsid w:val="2CD92454"/>
    <w:rsid w:val="2D5072C9"/>
    <w:rsid w:val="2D9737AA"/>
    <w:rsid w:val="2E44738D"/>
    <w:rsid w:val="2E483CF0"/>
    <w:rsid w:val="2EAE282B"/>
    <w:rsid w:val="2EBE114E"/>
    <w:rsid w:val="2ED43E1F"/>
    <w:rsid w:val="2EF61F5F"/>
    <w:rsid w:val="2F204D2F"/>
    <w:rsid w:val="2F213D0C"/>
    <w:rsid w:val="2F6B6D60"/>
    <w:rsid w:val="2FCD7BF6"/>
    <w:rsid w:val="2FDF9D68"/>
    <w:rsid w:val="2FFB24D9"/>
    <w:rsid w:val="2FFF405B"/>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583C53"/>
    <w:rsid w:val="385A096F"/>
    <w:rsid w:val="38731E86"/>
    <w:rsid w:val="38A54F26"/>
    <w:rsid w:val="38AB24E9"/>
    <w:rsid w:val="38DD789A"/>
    <w:rsid w:val="393E61F7"/>
    <w:rsid w:val="39547B8F"/>
    <w:rsid w:val="396669FF"/>
    <w:rsid w:val="397B56DC"/>
    <w:rsid w:val="39AC7A37"/>
    <w:rsid w:val="39EE0ECA"/>
    <w:rsid w:val="3A010BF4"/>
    <w:rsid w:val="3A5A5133"/>
    <w:rsid w:val="3A5F052B"/>
    <w:rsid w:val="3A6FE574"/>
    <w:rsid w:val="3B3347D5"/>
    <w:rsid w:val="3BC02155"/>
    <w:rsid w:val="3BF7E6BF"/>
    <w:rsid w:val="3C28581E"/>
    <w:rsid w:val="3C4538F8"/>
    <w:rsid w:val="3CA2297F"/>
    <w:rsid w:val="3CAF02F9"/>
    <w:rsid w:val="3CD975B2"/>
    <w:rsid w:val="3CFC1E0B"/>
    <w:rsid w:val="3CFF1E29"/>
    <w:rsid w:val="3D7D1865"/>
    <w:rsid w:val="3DE7634C"/>
    <w:rsid w:val="3DF8E5BE"/>
    <w:rsid w:val="3ED27DBD"/>
    <w:rsid w:val="3EFBC4EB"/>
    <w:rsid w:val="3F0C0676"/>
    <w:rsid w:val="3F141141"/>
    <w:rsid w:val="3F5A3C2F"/>
    <w:rsid w:val="3F724603"/>
    <w:rsid w:val="3F73A6B3"/>
    <w:rsid w:val="3FBC76CB"/>
    <w:rsid w:val="3FC76EA6"/>
    <w:rsid w:val="3FDFAE6B"/>
    <w:rsid w:val="40244897"/>
    <w:rsid w:val="40504E9C"/>
    <w:rsid w:val="4090448B"/>
    <w:rsid w:val="4185378C"/>
    <w:rsid w:val="431E490D"/>
    <w:rsid w:val="4384772F"/>
    <w:rsid w:val="43850177"/>
    <w:rsid w:val="43865400"/>
    <w:rsid w:val="44362561"/>
    <w:rsid w:val="443B2D53"/>
    <w:rsid w:val="445341F2"/>
    <w:rsid w:val="44834750"/>
    <w:rsid w:val="4486745E"/>
    <w:rsid w:val="44DB2ACE"/>
    <w:rsid w:val="458849D3"/>
    <w:rsid w:val="45A06791"/>
    <w:rsid w:val="45B1292D"/>
    <w:rsid w:val="45BF74A8"/>
    <w:rsid w:val="45CD38CF"/>
    <w:rsid w:val="462E307C"/>
    <w:rsid w:val="464072B5"/>
    <w:rsid w:val="464D21B7"/>
    <w:rsid w:val="46CA635B"/>
    <w:rsid w:val="47BB45EC"/>
    <w:rsid w:val="47EF9C25"/>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4FFF47CD"/>
    <w:rsid w:val="4FFFEE8B"/>
    <w:rsid w:val="501523A2"/>
    <w:rsid w:val="504174FC"/>
    <w:rsid w:val="50571C9F"/>
    <w:rsid w:val="50AB003F"/>
    <w:rsid w:val="50CF4503"/>
    <w:rsid w:val="50D37C15"/>
    <w:rsid w:val="511D019F"/>
    <w:rsid w:val="511D18C9"/>
    <w:rsid w:val="51542C8D"/>
    <w:rsid w:val="516234FD"/>
    <w:rsid w:val="51656886"/>
    <w:rsid w:val="516A1B63"/>
    <w:rsid w:val="51B81737"/>
    <w:rsid w:val="51D77030"/>
    <w:rsid w:val="51FEE84D"/>
    <w:rsid w:val="52353A0A"/>
    <w:rsid w:val="52D85750"/>
    <w:rsid w:val="52FB18C6"/>
    <w:rsid w:val="531072F0"/>
    <w:rsid w:val="53213E80"/>
    <w:rsid w:val="5377BAD2"/>
    <w:rsid w:val="53FE3E0A"/>
    <w:rsid w:val="543142CF"/>
    <w:rsid w:val="55286E22"/>
    <w:rsid w:val="556E6581"/>
    <w:rsid w:val="5588677D"/>
    <w:rsid w:val="560317C0"/>
    <w:rsid w:val="560E14B9"/>
    <w:rsid w:val="561F720E"/>
    <w:rsid w:val="566F4A58"/>
    <w:rsid w:val="5712150D"/>
    <w:rsid w:val="576F5C3E"/>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BF33748"/>
    <w:rsid w:val="5BFAC2EC"/>
    <w:rsid w:val="5BFCF22B"/>
    <w:rsid w:val="5C0C1983"/>
    <w:rsid w:val="5C146507"/>
    <w:rsid w:val="5C8556D4"/>
    <w:rsid w:val="5C9C6DF2"/>
    <w:rsid w:val="5C9D087A"/>
    <w:rsid w:val="5D1458EA"/>
    <w:rsid w:val="5D35760E"/>
    <w:rsid w:val="5D5840D6"/>
    <w:rsid w:val="5D8A2234"/>
    <w:rsid w:val="5DA37A9B"/>
    <w:rsid w:val="5DE96312"/>
    <w:rsid w:val="5E334000"/>
    <w:rsid w:val="5E69296F"/>
    <w:rsid w:val="5E6F066D"/>
    <w:rsid w:val="5EBFCD6F"/>
    <w:rsid w:val="5ED50225"/>
    <w:rsid w:val="5EFB2E24"/>
    <w:rsid w:val="5F1F0240"/>
    <w:rsid w:val="5F4FE618"/>
    <w:rsid w:val="5F562BF3"/>
    <w:rsid w:val="5FF9E3A1"/>
    <w:rsid w:val="603F5402"/>
    <w:rsid w:val="60603B12"/>
    <w:rsid w:val="60B0413F"/>
    <w:rsid w:val="60D818B2"/>
    <w:rsid w:val="614C422E"/>
    <w:rsid w:val="615A0A76"/>
    <w:rsid w:val="619135C2"/>
    <w:rsid w:val="621C7880"/>
    <w:rsid w:val="628A4E55"/>
    <w:rsid w:val="6295412E"/>
    <w:rsid w:val="62D04AAA"/>
    <w:rsid w:val="63381C06"/>
    <w:rsid w:val="63DDE0CB"/>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785B9"/>
    <w:rsid w:val="677909F1"/>
    <w:rsid w:val="67CFCC5E"/>
    <w:rsid w:val="67F91D07"/>
    <w:rsid w:val="683F44C5"/>
    <w:rsid w:val="68B44D24"/>
    <w:rsid w:val="696D41C4"/>
    <w:rsid w:val="69BF1317"/>
    <w:rsid w:val="69DEE6DA"/>
    <w:rsid w:val="69ED05F9"/>
    <w:rsid w:val="6AFD1C1F"/>
    <w:rsid w:val="6B263ACF"/>
    <w:rsid w:val="6B73602A"/>
    <w:rsid w:val="6B8B6CF1"/>
    <w:rsid w:val="6BDF6CC4"/>
    <w:rsid w:val="6C1660AA"/>
    <w:rsid w:val="6C234574"/>
    <w:rsid w:val="6C4142CA"/>
    <w:rsid w:val="6DF52391"/>
    <w:rsid w:val="6E231488"/>
    <w:rsid w:val="6E5EDCF0"/>
    <w:rsid w:val="6E61035D"/>
    <w:rsid w:val="6E7E2016"/>
    <w:rsid w:val="6F0452B4"/>
    <w:rsid w:val="6F4C6B46"/>
    <w:rsid w:val="6F7F75FD"/>
    <w:rsid w:val="6FE62E4F"/>
    <w:rsid w:val="6FFD7517"/>
    <w:rsid w:val="70905002"/>
    <w:rsid w:val="70BB7C71"/>
    <w:rsid w:val="717D0E42"/>
    <w:rsid w:val="719F75B5"/>
    <w:rsid w:val="71B400B8"/>
    <w:rsid w:val="71BF5D6D"/>
    <w:rsid w:val="71EA79F7"/>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6F521EC"/>
    <w:rsid w:val="77740E18"/>
    <w:rsid w:val="77DDBD2F"/>
    <w:rsid w:val="77F8FF4A"/>
    <w:rsid w:val="780A371A"/>
    <w:rsid w:val="781101C0"/>
    <w:rsid w:val="7824373B"/>
    <w:rsid w:val="7831103D"/>
    <w:rsid w:val="784521A0"/>
    <w:rsid w:val="786755ED"/>
    <w:rsid w:val="788D1579"/>
    <w:rsid w:val="79156F08"/>
    <w:rsid w:val="79220BB1"/>
    <w:rsid w:val="79936676"/>
    <w:rsid w:val="79A52F07"/>
    <w:rsid w:val="79BFCFF6"/>
    <w:rsid w:val="7A3BA44E"/>
    <w:rsid w:val="7A6F2A3A"/>
    <w:rsid w:val="7A8A0B42"/>
    <w:rsid w:val="7AFB7A2A"/>
    <w:rsid w:val="7B541151"/>
    <w:rsid w:val="7B7143D4"/>
    <w:rsid w:val="7B851976"/>
    <w:rsid w:val="7B9A12F6"/>
    <w:rsid w:val="7BBB15F0"/>
    <w:rsid w:val="7BBB5B3A"/>
    <w:rsid w:val="7BD4353D"/>
    <w:rsid w:val="7BDB215B"/>
    <w:rsid w:val="7BE772BD"/>
    <w:rsid w:val="7C07A0F5"/>
    <w:rsid w:val="7C0E057E"/>
    <w:rsid w:val="7C328772"/>
    <w:rsid w:val="7C5311B3"/>
    <w:rsid w:val="7C7D02D9"/>
    <w:rsid w:val="7CDB7433"/>
    <w:rsid w:val="7D0F22FE"/>
    <w:rsid w:val="7D460711"/>
    <w:rsid w:val="7D6C3877"/>
    <w:rsid w:val="7D717185"/>
    <w:rsid w:val="7D7635FF"/>
    <w:rsid w:val="7D8111E0"/>
    <w:rsid w:val="7DB10E50"/>
    <w:rsid w:val="7E172803"/>
    <w:rsid w:val="7EBDE881"/>
    <w:rsid w:val="7EC13FAE"/>
    <w:rsid w:val="7EEE50CF"/>
    <w:rsid w:val="7EFB19BA"/>
    <w:rsid w:val="7EFF5B1A"/>
    <w:rsid w:val="7EFFD7F9"/>
    <w:rsid w:val="7F152E80"/>
    <w:rsid w:val="7F207CC7"/>
    <w:rsid w:val="7F3D3C2E"/>
    <w:rsid w:val="7F5F57C9"/>
    <w:rsid w:val="7F770BAF"/>
    <w:rsid w:val="7F7D743D"/>
    <w:rsid w:val="7F7E15FA"/>
    <w:rsid w:val="7F97E26D"/>
    <w:rsid w:val="7FA92E56"/>
    <w:rsid w:val="7FD367DA"/>
    <w:rsid w:val="7FDF11E2"/>
    <w:rsid w:val="7FDF94E8"/>
    <w:rsid w:val="7FEC6338"/>
    <w:rsid w:val="7FF66380"/>
    <w:rsid w:val="7FFB2E72"/>
    <w:rsid w:val="7FFDFFBB"/>
    <w:rsid w:val="7FFF06A8"/>
    <w:rsid w:val="8BDFF241"/>
    <w:rsid w:val="933F233D"/>
    <w:rsid w:val="ADB3EDF9"/>
    <w:rsid w:val="B59DAF38"/>
    <w:rsid w:val="BD17492B"/>
    <w:rsid w:val="BDFD9F7C"/>
    <w:rsid w:val="BEEAD9E2"/>
    <w:rsid w:val="BF3708C1"/>
    <w:rsid w:val="BFBAAF01"/>
    <w:rsid w:val="BFEBA018"/>
    <w:rsid w:val="BFECF740"/>
    <w:rsid w:val="BFEF1DC6"/>
    <w:rsid w:val="BFFFA0C0"/>
    <w:rsid w:val="C55E42CD"/>
    <w:rsid w:val="D32F3AF8"/>
    <w:rsid w:val="D6FDEFC2"/>
    <w:rsid w:val="DC7B228D"/>
    <w:rsid w:val="DD37A29B"/>
    <w:rsid w:val="DDFBE030"/>
    <w:rsid w:val="DDFC5155"/>
    <w:rsid w:val="DEEE1B2A"/>
    <w:rsid w:val="DEFD9776"/>
    <w:rsid w:val="DF4DDE17"/>
    <w:rsid w:val="DF7A0AA8"/>
    <w:rsid w:val="DF9E634E"/>
    <w:rsid w:val="DFDE7D33"/>
    <w:rsid w:val="DFFD7932"/>
    <w:rsid w:val="E8DFD304"/>
    <w:rsid w:val="EAFBB9A4"/>
    <w:rsid w:val="EB37393C"/>
    <w:rsid w:val="EB87CD58"/>
    <w:rsid w:val="EDB7AC3B"/>
    <w:rsid w:val="EE77D1D0"/>
    <w:rsid w:val="EF57DBFC"/>
    <w:rsid w:val="EF637631"/>
    <w:rsid w:val="EFF73F9A"/>
    <w:rsid w:val="F2CA125D"/>
    <w:rsid w:val="F3BFF42D"/>
    <w:rsid w:val="F3EFAA32"/>
    <w:rsid w:val="F532E4C3"/>
    <w:rsid w:val="F5FEE6D6"/>
    <w:rsid w:val="F6FB82C6"/>
    <w:rsid w:val="F6FFD832"/>
    <w:rsid w:val="F79F69A3"/>
    <w:rsid w:val="F7FFF7DB"/>
    <w:rsid w:val="F9D7199E"/>
    <w:rsid w:val="FAC843ED"/>
    <w:rsid w:val="FAE5832C"/>
    <w:rsid w:val="FAEF8654"/>
    <w:rsid w:val="FAFFF4C0"/>
    <w:rsid w:val="FB7DB4E6"/>
    <w:rsid w:val="FB7F3151"/>
    <w:rsid w:val="FBBBD305"/>
    <w:rsid w:val="FD356166"/>
    <w:rsid w:val="FD3FD287"/>
    <w:rsid w:val="FD7BC777"/>
    <w:rsid w:val="FD7EF2D2"/>
    <w:rsid w:val="FD7FBC2F"/>
    <w:rsid w:val="FDF5A77E"/>
    <w:rsid w:val="FDF5C99E"/>
    <w:rsid w:val="FE6BE474"/>
    <w:rsid w:val="FEE7FFD5"/>
    <w:rsid w:val="FF3E95B9"/>
    <w:rsid w:val="FF3FA87E"/>
    <w:rsid w:val="FF3FFFB8"/>
    <w:rsid w:val="FF6D958A"/>
    <w:rsid w:val="FFE715EF"/>
    <w:rsid w:val="FFF93955"/>
    <w:rsid w:val="FFFF400C"/>
    <w:rsid w:val="FFFFD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Header Char"/>
    <w:basedOn w:val="9"/>
    <w:link w:val="6"/>
    <w:autoRedefine/>
    <w:qFormat/>
    <w:uiPriority w:val="99"/>
    <w:rPr>
      <w:sz w:val="18"/>
      <w:szCs w:val="18"/>
    </w:rPr>
  </w:style>
  <w:style w:type="character" w:customStyle="1" w:styleId="15">
    <w:name w:val="Footer Char"/>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Heading 3 Char"/>
    <w:link w:val="4"/>
    <w:autoRedefine/>
    <w:qFormat/>
    <w:uiPriority w:val="0"/>
    <w:rPr>
      <w:rFonts w:ascii="方正楷体简体" w:hAnsi="方正楷体简体" w:eastAsia="方正楷体简体"/>
      <w:sz w:val="32"/>
    </w:rPr>
  </w:style>
  <w:style w:type="table" w:customStyle="1" w:styleId="20">
    <w:name w:val="Table Normal1"/>
    <w:autoRedefine/>
    <w:semiHidden/>
    <w:unhideWhenUsed/>
    <w:qFormat/>
    <w:uiPriority w:val="0"/>
    <w:tblPr>
      <w:tblCellMar>
        <w:top w:w="0" w:type="dxa"/>
        <w:left w:w="0" w:type="dxa"/>
        <w:bottom w:w="0" w:type="dxa"/>
        <w:right w:w="0" w:type="dxa"/>
      </w:tblCellMar>
    </w:tblPr>
  </w:style>
  <w:style w:type="character" w:customStyle="1" w:styleId="21">
    <w:name w:val="Unresolved Mention1"/>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3080</Words>
  <Characters>3258</Characters>
  <Lines>24</Lines>
  <Paragraphs>6</Paragraphs>
  <TotalTime>0</TotalTime>
  <ScaleCrop>false</ScaleCrop>
  <LinksUpToDate>false</LinksUpToDate>
  <CharactersWithSpaces>3267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2023-02-11T13:38:00Z</dcterms:created>
  <dc:creator>张 斌</dc:creator>
  <cp:lastModifiedBy>朱赫</cp:lastModifiedBy>
  <cp:lastPrinted>2023-02-11T11:47:00Z</cp:lastPrinted>
  <dcterms:modified xsi:type="dcterms:W3CDTF">2024-04-17T00:46:45Z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