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28：</w:t>
      </w:r>
      <w:bookmarkStart w:id="2" w:name="_GoBack"/>
      <w:bookmarkEnd w:id="2"/>
    </w:p>
    <w:p>
      <w:pPr>
        <w:pStyle w:val="2"/>
        <w:spacing w:beforeAutospacing="0" w:afterAutospacing="0" w:line="640" w:lineRule="exact"/>
        <w:jc w:val="center"/>
        <w:rPr>
          <w:rFonts w:ascii="方正大标宋_GBK" w:hAnsi="Times New Roman" w:eastAsia="方正大标宋_GBK"/>
          <w:b w:val="0"/>
          <w:bCs w:val="0"/>
          <w:color w:val="000000" w:themeColor="text1"/>
          <w:sz w:val="44"/>
          <w:szCs w:val="44"/>
          <w14:textFill>
            <w14:solidFill>
              <w14:schemeClr w14:val="tx1"/>
            </w14:solidFill>
          </w14:textFill>
        </w:rPr>
      </w:pPr>
      <w: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t>“</w:t>
      </w:r>
      <w:r>
        <w:rPr>
          <w:rFonts w:ascii="方正大标宋_GBK" w:hAnsi="Times New Roman" w:eastAsia="方正大标宋_GBK"/>
          <w:b w:val="0"/>
          <w:bCs w:val="0"/>
          <w:color w:val="000000" w:themeColor="text1"/>
          <w:sz w:val="44"/>
          <w:szCs w:val="44"/>
          <w14:textFill>
            <w14:solidFill>
              <w14:schemeClr w14:val="tx1"/>
            </w14:solidFill>
          </w14:textFill>
        </w:rPr>
        <w:t>基于人工智能的近视风险预测技术和前沿研究</w:t>
      </w:r>
      <w: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t>”</w:t>
      </w:r>
      <w:r>
        <w:rPr>
          <w:rFonts w:ascii="方正大标宋_GBK"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eastAsia="方正楷体_GBK"/>
          <w:sz w:val="32"/>
          <w:szCs w:val="32"/>
          <w:lang w:val="en-US"/>
        </w:rPr>
      </w:pPr>
      <w:r>
        <w:rPr>
          <w:rFonts w:hint="eastAsia" w:eastAsia="方正楷体_GBK"/>
          <w:sz w:val="32"/>
          <w:szCs w:val="32"/>
          <w:lang w:val="en-US"/>
        </w:rPr>
        <w:t>（中国人民解放军空军特色医学中心）</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keepNext/>
        <w:keepLines/>
        <w:pageBreakBefore w:val="0"/>
        <w:widowControl/>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方正仿宋_GBK" w:eastAsia="方正仿宋_GBK"/>
          <w:color w:val="000000" w:themeColor="text1"/>
          <w:sz w:val="32"/>
          <w:szCs w:val="32"/>
          <w:lang w:val="en-US" w:eastAsia="zh-CN"/>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中国人民解放军空军特色医学</w:t>
      </w:r>
      <w:bookmarkStart w:id="0" w:name="_Hlk162781086"/>
      <w:r>
        <w:rPr>
          <w:rFonts w:hint="eastAsia" w:ascii="方正仿宋_GBK" w:eastAsia="方正仿宋_GBK"/>
          <w:color w:val="000000" w:themeColor="text1"/>
          <w:sz w:val="32"/>
          <w:szCs w:val="32"/>
          <w:lang w:val="en-US"/>
          <w14:textFill>
            <w14:solidFill>
              <w14:schemeClr w14:val="tx1"/>
            </w14:solidFill>
          </w14:textFill>
        </w:rPr>
        <w:t>中心</w:t>
      </w:r>
      <w:bookmarkEnd w:id="0"/>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基于人工智能的近视风险预测技术和前沿研究</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近视是最常见的屈光不正，已成为全球的重大公共卫生问题。近视的发病年龄越小，其进展的速度越快，进展为高度近视或病理性近视的可能性越大。病理性近视会增加一系列眼底病变的患病风险，如视网膜脱落、脉络膜新生血管、黄斑变性和后巩膜葡萄肿等。因此，病理性近视是全球低视力或失明的主要原因之一。</w:t>
      </w:r>
      <w:r>
        <w:rPr>
          <w:rFonts w:eastAsia="方正仿宋_GBK"/>
          <w:color w:val="000000" w:themeColor="text1"/>
          <w:sz w:val="32"/>
          <w:szCs w:val="32"/>
          <w:lang w:val="en-US"/>
          <w14:textFill>
            <w14:solidFill>
              <w14:schemeClr w14:val="tx1"/>
            </w14:solidFill>
          </w14:textFill>
        </w:rPr>
        <w:t>2018</w:t>
      </w:r>
      <w:r>
        <w:rPr>
          <w:rFonts w:hint="eastAsia" w:ascii="方正仿宋_GBK" w:eastAsia="方正仿宋_GBK"/>
          <w:color w:val="000000" w:themeColor="text1"/>
          <w:sz w:val="32"/>
          <w:szCs w:val="32"/>
          <w:lang w:val="en-US"/>
          <w14:textFill>
            <w14:solidFill>
              <w14:schemeClr w14:val="tx1"/>
            </w14:solidFill>
          </w14:textFill>
        </w:rPr>
        <w:t>年，由教育部牵头，联合国家</w:t>
      </w:r>
      <w:r>
        <w:rPr>
          <w:rFonts w:hint="eastAsia" w:ascii="方正仿宋_GBK" w:eastAsia="方正仿宋_GBK"/>
          <w:color w:val="000000" w:themeColor="text1"/>
          <w:sz w:val="32"/>
          <w:szCs w:val="32"/>
          <w:lang w:val="en-US" w:eastAsia="zh-CN"/>
          <w14:textFill>
            <w14:solidFill>
              <w14:schemeClr w14:val="tx1"/>
            </w14:solidFill>
          </w14:textFill>
        </w:rPr>
        <w:t>卫生健康委员会</w:t>
      </w:r>
      <w:r>
        <w:rPr>
          <w:rFonts w:hint="eastAsia" w:ascii="方正仿宋_GBK" w:eastAsia="方正仿宋_GBK"/>
          <w:color w:val="000000" w:themeColor="text1"/>
          <w:sz w:val="32"/>
          <w:szCs w:val="32"/>
          <w:lang w:val="en-US"/>
          <w14:textFill>
            <w14:solidFill>
              <w14:schemeClr w14:val="tx1"/>
            </w14:solidFill>
          </w14:textFill>
        </w:rPr>
        <w:t>等八部门印发了《综合防控儿童青少年近视实施方案》，将近视防控上升为国家策略。</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病理性近视的一个重要表现为眼轴异常增长。眼轴病理性增长的风险可能与眼球后部巩膜的生物力学属性相关。因此，后巩膜生物力学属性及其变化规律有可能成为预测近视进展并指示近视早期病理变化的指标，但目前临床上缺乏后巩膜生物力学属性直接测量方法。基于人工智能和多模影像学的近视风险预测技术和前沿研究项目在攻克技术难题方面具有重大意义。</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题目要求参赛者结合人工智能与力学算法，创新性地开发出能够无创、便捷评估巩膜生物力学特性的AI模型：只需对眼后部进行常规成像就可评估巩膜的生物力学特性。</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themeColor="text1"/>
          <w:sz w:val="32"/>
          <w:szCs w:val="32"/>
          <w:lang w:val="en-US"/>
          <w14:textFill>
            <w14:solidFill>
              <w14:schemeClr w14:val="tx1"/>
            </w14:solidFill>
          </w14:textFill>
        </w:rPr>
      </w:pPr>
      <w:r>
        <w:rPr>
          <w:rFonts w:ascii="方正仿宋_GBK" w:eastAsia="方正仿宋_GBK"/>
          <w:color w:val="000000" w:themeColor="text1"/>
          <w:sz w:val="32"/>
          <w:szCs w:val="32"/>
          <w:lang w:val="en-US"/>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每件作品仅可由1所高校推报，高校在推报前要对参赛团队成员及作品进行相关资格审查。</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themeColor="text1"/>
          <w:sz w:val="32"/>
          <w:szCs w:val="32"/>
          <w:lang w:val="en-US"/>
          <w14:textFill>
            <w14:solidFill>
              <w14:schemeClr w14:val="tx1"/>
            </w14:solidFill>
          </w14:textFill>
        </w:rPr>
      </w:pPr>
      <w:r>
        <w:rPr>
          <w:rFonts w:ascii="方正仿宋_GBK" w:eastAsia="方正仿宋_GBK"/>
          <w:color w:val="000000" w:themeColor="text1"/>
          <w:sz w:val="32"/>
          <w:szCs w:val="32"/>
          <w:lang w:val="en-US"/>
          <w14:textFill>
            <w14:solidFill>
              <w14:schemeClr w14:val="tx1"/>
            </w14:solidFill>
          </w14:textFill>
        </w:rPr>
        <w:t>每所学校选送参加专项赛的作品数量不设限制，但同一作品不得同时参加第十九届</w:t>
      </w:r>
      <w:r>
        <w:rPr>
          <w:rFonts w:hint="eastAsia" w:ascii="方正仿宋_GBK" w:eastAsia="方正仿宋_GBK"/>
          <w:color w:val="000000" w:themeColor="text1"/>
          <w:sz w:val="32"/>
          <w:szCs w:val="32"/>
          <w:lang w:val="en-US" w:eastAsia="zh-CN"/>
          <w14:textFill>
            <w14:solidFill>
              <w14:schemeClr w14:val="tx1"/>
            </w14:solidFill>
          </w14:textFill>
        </w:rPr>
        <w:t>“</w:t>
      </w:r>
      <w:r>
        <w:rPr>
          <w:rFonts w:ascii="方正仿宋_GBK" w:eastAsia="方正仿宋_GBK"/>
          <w:color w:val="000000" w:themeColor="text1"/>
          <w:sz w:val="32"/>
          <w:szCs w:val="32"/>
          <w:lang w:val="en-US"/>
          <w14:textFill>
            <w14:solidFill>
              <w14:schemeClr w14:val="tx1"/>
            </w14:solidFill>
          </w14:textFill>
        </w:rPr>
        <w:t>挑战杯</w:t>
      </w:r>
      <w:r>
        <w:rPr>
          <w:rFonts w:hint="eastAsia" w:ascii="方正仿宋_GBK" w:eastAsia="方正仿宋_GBK"/>
          <w:color w:val="000000" w:themeColor="text1"/>
          <w:sz w:val="32"/>
          <w:szCs w:val="32"/>
          <w:lang w:val="en-US" w:eastAsia="zh-CN"/>
          <w14:textFill>
            <w14:solidFill>
              <w14:schemeClr w14:val="tx1"/>
            </w14:solidFill>
          </w14:textFill>
        </w:rPr>
        <w:t>”</w:t>
      </w:r>
      <w:r>
        <w:rPr>
          <w:rFonts w:ascii="方正仿宋_GBK" w:eastAsia="方正仿宋_GBK"/>
          <w:color w:val="000000" w:themeColor="text1"/>
          <w:sz w:val="32"/>
          <w:szCs w:val="32"/>
          <w:lang w:val="en-US"/>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widowControl/>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具备创新性和原创性，独立设计并完成开发，此前未公开发布；</w:t>
      </w:r>
    </w:p>
    <w:p>
      <w:pPr>
        <w:pageBreakBefore w:val="0"/>
        <w:widowControl/>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具备实用性，有一定的转化价值；</w:t>
      </w:r>
    </w:p>
    <w:p>
      <w:pPr>
        <w:pageBreakBefore w:val="0"/>
        <w:widowControl/>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参赛者应以文档形式给出基于人工智能的眼后部组织生物力学在体测量算法设计方案研究报告，内容包括但不限于设计方案说明、程序实现、返回结果、核心技术/创新点等；</w:t>
      </w:r>
    </w:p>
    <w:p>
      <w:pPr>
        <w:pageBreakBefore w:val="0"/>
        <w:widowControl/>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参赛者应提交相应的基于人工智能的眼后部组织生物力学在体测量应用程序或软件，内容包括但不限于源代码与可执行文件、程序文档、测试结果。</w:t>
      </w:r>
    </w:p>
    <w:p>
      <w:pPr>
        <w:pageBreakBefore w:val="0"/>
        <w:widowControl/>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根据大赛整体时间安排并结合科研攻关的科学规律，</w:t>
      </w:r>
      <w:r>
        <w:rPr>
          <w:rFonts w:hint="eastAsia" w:eastAsia="方正仿宋_GBK"/>
          <w:sz w:val="32"/>
          <w:szCs w:val="32"/>
          <w:lang w:val="en-US"/>
        </w:rPr>
        <w:t>8</w:t>
      </w:r>
      <w:r>
        <w:rPr>
          <w:rFonts w:eastAsia="方正仿宋_GBK"/>
          <w:sz w:val="32"/>
          <w:szCs w:val="32"/>
          <w:lang w:val="en-US"/>
        </w:rPr>
        <w:t>月1日前，各参赛团队提交作品。</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lang w:val="en-US"/>
        </w:rPr>
      </w:pPr>
      <w:r>
        <w:rPr>
          <w:rFonts w:eastAsia="方正仿宋_GBK"/>
          <w:sz w:val="32"/>
          <w:szCs w:val="32"/>
        </w:rPr>
        <w:t>作品采用得分制进行评选与排名，总分包括</w:t>
      </w:r>
      <w:r>
        <w:rPr>
          <w:rFonts w:eastAsia="方正仿宋_GBK"/>
          <w:sz w:val="32"/>
          <w:szCs w:val="32"/>
          <w:lang w:val="en-US"/>
        </w:rPr>
        <w:t>主观分与客观分，其中主观分 50 分，客观分 50 分。</w:t>
      </w:r>
    </w:p>
    <w:p>
      <w:pPr>
        <w:pStyle w:val="20"/>
        <w:pageBreakBefore w:val="0"/>
        <w:widowControl/>
        <w:numPr>
          <w:ilvl w:val="0"/>
          <w:numId w:val="4"/>
        </w:numPr>
        <w:kinsoku/>
        <w:wordWrap/>
        <w:overflowPunct/>
        <w:topLinePunct w:val="0"/>
        <w:autoSpaceDE/>
        <w:autoSpaceDN/>
        <w:bidi w:val="0"/>
        <w:spacing w:line="560" w:lineRule="exact"/>
        <w:ind w:left="0" w:firstLine="640" w:firstLineChars="200"/>
        <w:textAlignment w:val="auto"/>
        <w:rPr>
          <w:rFonts w:eastAsia="方正楷体_GBK"/>
          <w:sz w:val="32"/>
          <w:szCs w:val="32"/>
        </w:rPr>
      </w:pPr>
      <w:r>
        <w:rPr>
          <w:rFonts w:eastAsia="方正楷体_GBK"/>
          <w:sz w:val="32"/>
          <w:szCs w:val="32"/>
        </w:rPr>
        <w:t>主观分</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rPr>
      </w:pPr>
      <w:r>
        <w:rPr>
          <w:rFonts w:eastAsia="方正仿宋_GBK"/>
          <w:sz w:val="32"/>
          <w:szCs w:val="32"/>
        </w:rPr>
        <w:t>评委主要从作品的国内外发展调研分析情况、研究思路、技术路线、工程性、合理性等五个维度进行综合评价，共50分，各维度所占分值情况如下</w:t>
      </w:r>
      <w:r>
        <w:rPr>
          <w:rFonts w:hint="eastAsia" w:eastAsia="方正仿宋_GBK"/>
          <w:sz w:val="32"/>
          <w:szCs w:val="32"/>
          <w:lang w:eastAsia="zh-CN"/>
        </w:rPr>
        <w:t>：</w:t>
      </w:r>
    </w:p>
    <w:p>
      <w:pPr>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国内外发展调研分析情况</w:t>
      </w:r>
      <w:r>
        <w:rPr>
          <w:rFonts w:hint="eastAsia" w:eastAsia="方正仿宋_GBK"/>
          <w:sz w:val="32"/>
          <w:szCs w:val="32"/>
          <w:lang w:val="en-US" w:eastAsia="zh-CN"/>
        </w:rPr>
        <w:t>（</w:t>
      </w:r>
      <w:r>
        <w:rPr>
          <w:rFonts w:eastAsia="方正仿宋_GBK"/>
          <w:sz w:val="32"/>
          <w:szCs w:val="32"/>
          <w:lang w:val="en-US"/>
        </w:rPr>
        <w:t>分值</w:t>
      </w:r>
      <w:r>
        <w:rPr>
          <w:rFonts w:hint="eastAsia" w:eastAsia="方正仿宋_GBK"/>
          <w:sz w:val="32"/>
          <w:szCs w:val="32"/>
          <w:lang w:val="en-US" w:eastAsia="zh-CN"/>
        </w:rPr>
        <w:t>：</w:t>
      </w:r>
      <w:r>
        <w:rPr>
          <w:rFonts w:eastAsia="方正仿宋_GBK"/>
          <w:sz w:val="32"/>
          <w:szCs w:val="32"/>
          <w:lang w:val="en-US"/>
        </w:rPr>
        <w:t>10分</w:t>
      </w:r>
      <w:r>
        <w:rPr>
          <w:rFonts w:hint="eastAsia" w:eastAsia="方正仿宋_GBK"/>
          <w:sz w:val="32"/>
          <w:szCs w:val="32"/>
          <w:lang w:val="en-US" w:eastAsia="zh-CN"/>
        </w:rPr>
        <w:t>）</w:t>
      </w:r>
      <w:r>
        <w:rPr>
          <w:rFonts w:eastAsia="方正仿宋_GBK"/>
          <w:sz w:val="32"/>
          <w:szCs w:val="32"/>
          <w:lang w:val="en-US"/>
        </w:rPr>
        <w:t xml:space="preserve">; </w:t>
      </w:r>
    </w:p>
    <w:p>
      <w:pPr>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研究思路合理性</w:t>
      </w:r>
      <w:r>
        <w:rPr>
          <w:rFonts w:hint="eastAsia" w:eastAsia="方正仿宋_GBK"/>
          <w:sz w:val="32"/>
          <w:szCs w:val="32"/>
          <w:lang w:val="en-US" w:eastAsia="zh-CN"/>
        </w:rPr>
        <w:t>（</w:t>
      </w:r>
      <w:r>
        <w:rPr>
          <w:rFonts w:eastAsia="方正仿宋_GBK"/>
          <w:sz w:val="32"/>
          <w:szCs w:val="32"/>
          <w:lang w:val="en-US"/>
        </w:rPr>
        <w:t>分值</w:t>
      </w:r>
      <w:r>
        <w:rPr>
          <w:rFonts w:hint="eastAsia" w:eastAsia="方正仿宋_GBK"/>
          <w:sz w:val="32"/>
          <w:szCs w:val="32"/>
          <w:lang w:val="en-US" w:eastAsia="zh-CN"/>
        </w:rPr>
        <w:t>：</w:t>
      </w:r>
      <w:r>
        <w:rPr>
          <w:rFonts w:eastAsia="方正仿宋_GBK"/>
          <w:sz w:val="32"/>
          <w:szCs w:val="32"/>
          <w:lang w:val="en-US"/>
        </w:rPr>
        <w:t>10分</w:t>
      </w:r>
      <w:r>
        <w:rPr>
          <w:rFonts w:hint="eastAsia" w:eastAsia="方正仿宋_GBK"/>
          <w:sz w:val="32"/>
          <w:szCs w:val="32"/>
          <w:lang w:val="en-US" w:eastAsia="zh-CN"/>
        </w:rPr>
        <w:t>）</w:t>
      </w:r>
      <w:r>
        <w:rPr>
          <w:rFonts w:eastAsia="方正仿宋_GBK"/>
          <w:sz w:val="32"/>
          <w:szCs w:val="32"/>
          <w:lang w:val="en-US"/>
        </w:rPr>
        <w:t>;</w:t>
      </w:r>
    </w:p>
    <w:p>
      <w:pPr>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技术路线可行性</w:t>
      </w:r>
      <w:r>
        <w:rPr>
          <w:rFonts w:hint="eastAsia" w:eastAsia="方正仿宋_GBK"/>
          <w:sz w:val="32"/>
          <w:szCs w:val="32"/>
          <w:lang w:val="en-US" w:eastAsia="zh-CN"/>
        </w:rPr>
        <w:t>（</w:t>
      </w:r>
      <w:r>
        <w:rPr>
          <w:rFonts w:eastAsia="方正仿宋_GBK"/>
          <w:sz w:val="32"/>
          <w:szCs w:val="32"/>
          <w:lang w:val="en-US"/>
        </w:rPr>
        <w:t>分值</w:t>
      </w:r>
      <w:r>
        <w:rPr>
          <w:rFonts w:hint="eastAsia" w:eastAsia="方正仿宋_GBK"/>
          <w:sz w:val="32"/>
          <w:szCs w:val="32"/>
          <w:lang w:val="en-US" w:eastAsia="zh-CN"/>
        </w:rPr>
        <w:t>：</w:t>
      </w:r>
      <w:r>
        <w:rPr>
          <w:rFonts w:eastAsia="方正仿宋_GBK"/>
          <w:sz w:val="32"/>
          <w:szCs w:val="32"/>
          <w:lang w:val="en-US"/>
        </w:rPr>
        <w:t>10分</w:t>
      </w:r>
      <w:r>
        <w:rPr>
          <w:rFonts w:hint="eastAsia" w:eastAsia="方正仿宋_GBK"/>
          <w:sz w:val="32"/>
          <w:szCs w:val="32"/>
          <w:lang w:val="en-US" w:eastAsia="zh-CN"/>
        </w:rPr>
        <w:t>）</w:t>
      </w:r>
      <w:r>
        <w:rPr>
          <w:rFonts w:eastAsia="方正仿宋_GBK"/>
          <w:sz w:val="32"/>
          <w:szCs w:val="32"/>
          <w:lang w:val="en-US"/>
        </w:rPr>
        <w:t>;</w:t>
      </w:r>
    </w:p>
    <w:p>
      <w:pPr>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基于当前临床资源的可实现性</w:t>
      </w:r>
      <w:r>
        <w:rPr>
          <w:rFonts w:hint="eastAsia" w:eastAsia="方正仿宋_GBK"/>
          <w:sz w:val="32"/>
          <w:szCs w:val="32"/>
          <w:lang w:val="en-US" w:eastAsia="zh-CN"/>
        </w:rPr>
        <w:t>（</w:t>
      </w:r>
      <w:r>
        <w:rPr>
          <w:rFonts w:eastAsia="方正仿宋_GBK"/>
          <w:sz w:val="32"/>
          <w:szCs w:val="32"/>
          <w:lang w:val="en-US"/>
        </w:rPr>
        <w:t>分值</w:t>
      </w:r>
      <w:r>
        <w:rPr>
          <w:rFonts w:hint="eastAsia" w:eastAsia="方正仿宋_GBK"/>
          <w:sz w:val="32"/>
          <w:szCs w:val="32"/>
          <w:lang w:val="en-US" w:eastAsia="zh-CN"/>
        </w:rPr>
        <w:t>：</w:t>
      </w:r>
      <w:r>
        <w:rPr>
          <w:rFonts w:eastAsia="方正仿宋_GBK"/>
          <w:sz w:val="32"/>
          <w:szCs w:val="32"/>
          <w:lang w:val="en-US"/>
        </w:rPr>
        <w:t>10分</w:t>
      </w:r>
      <w:r>
        <w:rPr>
          <w:rFonts w:hint="eastAsia" w:eastAsia="方正仿宋_GBK"/>
          <w:sz w:val="32"/>
          <w:szCs w:val="32"/>
          <w:lang w:val="en-US" w:eastAsia="zh-CN"/>
        </w:rPr>
        <w:t>）</w:t>
      </w:r>
      <w:r>
        <w:rPr>
          <w:rFonts w:eastAsia="方正仿宋_GBK"/>
          <w:sz w:val="32"/>
          <w:szCs w:val="32"/>
          <w:lang w:val="en-US"/>
        </w:rPr>
        <w:t>;</w:t>
      </w:r>
    </w:p>
    <w:p>
      <w:pPr>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模型合理性</w:t>
      </w:r>
      <w:r>
        <w:rPr>
          <w:rFonts w:hint="eastAsia" w:eastAsia="方正仿宋_GBK"/>
          <w:sz w:val="32"/>
          <w:szCs w:val="32"/>
          <w:lang w:val="en-US" w:eastAsia="zh-CN"/>
        </w:rPr>
        <w:t>（</w:t>
      </w:r>
      <w:r>
        <w:rPr>
          <w:rFonts w:eastAsia="方正仿宋_GBK"/>
          <w:sz w:val="32"/>
          <w:szCs w:val="32"/>
          <w:lang w:val="en-US"/>
        </w:rPr>
        <w:t>分值</w:t>
      </w:r>
      <w:r>
        <w:rPr>
          <w:rFonts w:hint="eastAsia" w:eastAsia="方正仿宋_GBK"/>
          <w:sz w:val="32"/>
          <w:szCs w:val="32"/>
          <w:lang w:val="en-US" w:eastAsia="zh-CN"/>
        </w:rPr>
        <w:t>：</w:t>
      </w:r>
      <w:r>
        <w:rPr>
          <w:rFonts w:eastAsia="方正仿宋_GBK"/>
          <w:sz w:val="32"/>
          <w:szCs w:val="32"/>
          <w:lang w:val="en-US"/>
        </w:rPr>
        <w:t>10分</w:t>
      </w:r>
      <w:r>
        <w:rPr>
          <w:rFonts w:hint="eastAsia" w:eastAsia="方正仿宋_GBK"/>
          <w:sz w:val="32"/>
          <w:szCs w:val="32"/>
          <w:lang w:val="en-US" w:eastAsia="zh-CN"/>
        </w:rPr>
        <w:t>）</w:t>
      </w:r>
      <w:r>
        <w:rPr>
          <w:rFonts w:eastAsia="方正仿宋_GBK"/>
          <w:sz w:val="32"/>
          <w:szCs w:val="32"/>
          <w:lang w:val="en-US"/>
        </w:rPr>
        <w:t>。</w:t>
      </w:r>
    </w:p>
    <w:p>
      <w:pPr>
        <w:pStyle w:val="20"/>
        <w:pageBreakBefore w:val="0"/>
        <w:widowControl/>
        <w:numPr>
          <w:ilvl w:val="0"/>
          <w:numId w:val="4"/>
        </w:numPr>
        <w:kinsoku/>
        <w:wordWrap/>
        <w:overflowPunct/>
        <w:topLinePunct w:val="0"/>
        <w:autoSpaceDE/>
        <w:autoSpaceDN/>
        <w:bidi w:val="0"/>
        <w:spacing w:line="560" w:lineRule="exact"/>
        <w:ind w:left="0" w:firstLine="640" w:firstLineChars="200"/>
        <w:textAlignment w:val="auto"/>
        <w:rPr>
          <w:rFonts w:eastAsia="方正楷体_GBK"/>
          <w:sz w:val="32"/>
          <w:szCs w:val="32"/>
        </w:rPr>
      </w:pPr>
      <w:r>
        <w:rPr>
          <w:rFonts w:eastAsia="方正楷体_GBK"/>
          <w:sz w:val="32"/>
          <w:szCs w:val="32"/>
        </w:rPr>
        <w:t>客观分</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rPr>
      </w:pPr>
      <w:r>
        <w:rPr>
          <w:rFonts w:eastAsia="方正仿宋_GBK"/>
          <w:sz w:val="32"/>
          <w:szCs w:val="32"/>
        </w:rPr>
        <w:t>评委根据提交的程序，测试各功能实现情况，共50分，各功能所占分值情况如下：</w:t>
      </w:r>
    </w:p>
    <w:p>
      <w:pPr>
        <w:pageBreakBefore w:val="0"/>
        <w:widowControl/>
        <w:numPr>
          <w:ilvl w:val="0"/>
          <w:numId w:val="6"/>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提取出眼球后部各点各组织变形</w:t>
      </w:r>
      <w:r>
        <w:rPr>
          <w:rFonts w:hint="eastAsia" w:eastAsia="方正仿宋_GBK"/>
          <w:sz w:val="32"/>
          <w:szCs w:val="32"/>
          <w:lang w:val="en-US" w:eastAsia="zh-CN"/>
        </w:rPr>
        <w:t>（</w:t>
      </w:r>
      <w:r>
        <w:rPr>
          <w:rFonts w:eastAsia="方正仿宋_GBK"/>
          <w:sz w:val="32"/>
          <w:szCs w:val="32"/>
          <w:lang w:val="en-US"/>
        </w:rPr>
        <w:t>分值</w:t>
      </w:r>
      <w:r>
        <w:rPr>
          <w:rFonts w:hint="eastAsia" w:eastAsia="方正仿宋_GBK"/>
          <w:sz w:val="32"/>
          <w:szCs w:val="32"/>
          <w:lang w:val="en-US" w:eastAsia="zh-CN"/>
        </w:rPr>
        <w:t>：</w:t>
      </w:r>
      <w:r>
        <w:rPr>
          <w:rFonts w:eastAsia="方正仿宋_GBK"/>
          <w:sz w:val="32"/>
          <w:szCs w:val="32"/>
          <w:lang w:val="en-US"/>
        </w:rPr>
        <w:t>20分</w:t>
      </w:r>
      <w:r>
        <w:rPr>
          <w:rFonts w:hint="eastAsia" w:eastAsia="方正仿宋_GBK"/>
          <w:sz w:val="32"/>
          <w:szCs w:val="32"/>
          <w:lang w:val="en-US" w:eastAsia="zh-CN"/>
        </w:rPr>
        <w:t>）</w:t>
      </w:r>
    </w:p>
    <w:p>
      <w:pPr>
        <w:pageBreakBefore w:val="0"/>
        <w:widowControl/>
        <w:numPr>
          <w:ilvl w:val="0"/>
          <w:numId w:val="6"/>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人工智能算法对眼球后部组织变形的预测MAE&lt;2% (15分</w:t>
      </w:r>
      <w:r>
        <w:rPr>
          <w:rFonts w:hint="eastAsia" w:eastAsia="方正仿宋_GBK"/>
          <w:sz w:val="32"/>
          <w:szCs w:val="32"/>
          <w:lang w:val="en-US" w:eastAsia="zh-CN"/>
        </w:rPr>
        <w:t>）</w:t>
      </w:r>
    </w:p>
    <w:p>
      <w:pPr>
        <w:pageBreakBefore w:val="0"/>
        <w:widowControl/>
        <w:numPr>
          <w:ilvl w:val="0"/>
          <w:numId w:val="6"/>
        </w:numPr>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人工智能算法只采用单次成像数据对眼球后部顺应性预测的二分类AUC&gt;0.7 (15分</w:t>
      </w:r>
      <w:r>
        <w:rPr>
          <w:rFonts w:hint="eastAsia" w:eastAsia="方正仿宋_GBK"/>
          <w:sz w:val="32"/>
          <w:szCs w:val="32"/>
          <w:lang w:val="en-US" w:eastAsia="zh-CN"/>
        </w:rPr>
        <w:t>）</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sz w:val="32"/>
          <w:szCs w:val="32"/>
          <w:lang w:val="en-US"/>
        </w:rPr>
        <w:t>2024年</w:t>
      </w:r>
      <w:r>
        <w:rPr>
          <w:rFonts w:hint="eastAsia" w:eastAsia="方正仿宋_GBK"/>
          <w:sz w:val="32"/>
          <w:szCs w:val="32"/>
          <w:lang w:val="en-US" w:eastAsia="zh-CN"/>
        </w:rPr>
        <w:t>4</w:t>
      </w:r>
      <w:r>
        <w:rPr>
          <w:rFonts w:eastAsia="方正仿宋_GBK"/>
          <w:sz w:val="32"/>
          <w:szCs w:val="32"/>
          <w:lang w:val="en-US"/>
        </w:rPr>
        <w:t>月</w:t>
      </w:r>
      <w:r>
        <w:rPr>
          <w:rFonts w:hint="eastAsia" w:eastAsia="方正仿宋_GBK"/>
          <w:sz w:val="32"/>
          <w:szCs w:val="32"/>
          <w:lang w:val="en-US"/>
        </w:rPr>
        <w:t>-</w:t>
      </w:r>
      <w:r>
        <w:rPr>
          <w:rFonts w:eastAsia="方正仿宋_GBK"/>
          <w:sz w:val="32"/>
          <w:szCs w:val="32"/>
          <w:lang w:val="en-US"/>
        </w:rPr>
        <w:t>8月，各参赛团队选择榜单中的题目开展研发攻关，各高校</w:t>
      </w:r>
      <w:r>
        <w:rPr>
          <w:rFonts w:hint="eastAsia" w:eastAsia="方正仿宋_GBK"/>
          <w:sz w:val="32"/>
          <w:szCs w:val="32"/>
          <w:lang w:val="en-US" w:eastAsia="zh-CN"/>
        </w:rPr>
        <w:t>“</w:t>
      </w:r>
      <w:r>
        <w:rPr>
          <w:rFonts w:eastAsia="方正仿宋_GBK"/>
          <w:sz w:val="32"/>
          <w:szCs w:val="32"/>
          <w:lang w:val="en-US"/>
        </w:rPr>
        <w:t>挑战杯</w:t>
      </w:r>
      <w:r>
        <w:rPr>
          <w:rFonts w:hint="eastAsia" w:eastAsia="方正仿宋_GBK"/>
          <w:sz w:val="32"/>
          <w:szCs w:val="32"/>
          <w:lang w:val="en-US" w:eastAsia="zh-CN"/>
        </w:rPr>
        <w:t>”</w:t>
      </w:r>
      <w:r>
        <w:rPr>
          <w:rFonts w:eastAsia="方正仿宋_GBK"/>
          <w:sz w:val="32"/>
          <w:szCs w:val="32"/>
          <w:lang w:val="en-US"/>
        </w:rPr>
        <w:t>竞赛组织协调机构要积极组</w:t>
      </w:r>
      <w:r>
        <w:rPr>
          <w:rFonts w:eastAsia="方正仿宋_GBK"/>
          <w:color w:val="000000" w:themeColor="text1"/>
          <w:sz w:val="32"/>
          <w:szCs w:val="32"/>
          <w:lang w:val="en-US"/>
          <w14:textFill>
            <w14:solidFill>
              <w14:schemeClr w14:val="tx1"/>
            </w14:solidFill>
          </w14:textFill>
        </w:rPr>
        <w:t>织学生参赛，安排有关老师给予指导，为参赛团队提供支持保障；</w:t>
      </w:r>
      <w:r>
        <w:rPr>
          <w:rFonts w:hint="eastAsia" w:eastAsia="方正仿宋_GBK"/>
          <w:color w:val="000000" w:themeColor="text1"/>
          <w:sz w:val="32"/>
          <w:szCs w:val="32"/>
          <w:lang w:val="en-US"/>
          <w14:textFill>
            <w14:solidFill>
              <w14:schemeClr w14:val="tx1"/>
            </w14:solidFill>
          </w14:textFill>
        </w:rPr>
        <w:t>8</w:t>
      </w:r>
      <w:r>
        <w:rPr>
          <w:rFonts w:eastAsia="方正仿宋_GBK"/>
          <w:color w:val="000000" w:themeColor="text1"/>
          <w:sz w:val="32"/>
          <w:szCs w:val="32"/>
          <w:lang w:val="en-US"/>
          <w14:textFill>
            <w14:solidFill>
              <w14:schemeClr w14:val="tx1"/>
            </w14:solidFill>
          </w14:textFill>
        </w:rPr>
        <w:t>月1日前，各参赛团队向组委会提交作品，具体提交要求详见作品提交方式。</w:t>
      </w:r>
    </w:p>
    <w:p>
      <w:pPr>
        <w:pStyle w:val="3"/>
        <w:pageBreakBefore w:val="0"/>
        <w:widowControl/>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参赛报名及作品提交方式</w:t>
      </w:r>
    </w:p>
    <w:p>
      <w:pPr>
        <w:pStyle w:val="20"/>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1. </w:t>
      </w:r>
      <w:r>
        <w:rPr>
          <w:rFonts w:hint="eastAsia" w:ascii="方正楷体_GBK" w:hAnsi="方正楷体_GBK" w:eastAsia="方正楷体_GBK" w:cs="方正楷体_GBK"/>
          <w:color w:val="000000" w:themeColor="text1"/>
          <w:sz w:val="32"/>
          <w:szCs w:val="32"/>
          <w14:textFill>
            <w14:solidFill>
              <w14:schemeClr w14:val="tx1"/>
            </w14:solidFill>
          </w14:textFill>
        </w:rPr>
        <w:t>网上</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报名方式</w:t>
      </w:r>
    </w:p>
    <w:p>
      <w:pPr>
        <w:pageBreakBefore w:val="0"/>
        <w:widowControl/>
        <w:kinsoku/>
        <w:wordWrap/>
        <w:overflowPunct/>
        <w:topLinePunct w:val="0"/>
        <w:autoSpaceDE/>
        <w:autoSpaceDN/>
        <w:bidi w:val="0"/>
        <w:spacing w:line="560" w:lineRule="exact"/>
        <w:ind w:left="0" w:firstLine="640" w:firstLineChars="200"/>
        <w:jc w:val="left"/>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20"/>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2. 具体作品提交方式</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提交具体作品时，务必一并提交1份报名系统中审核通过的</w:t>
      </w:r>
      <w:bookmarkStart w:id="1" w:name="_Hlk162773153"/>
      <w:r>
        <w:rPr>
          <w:rFonts w:eastAsia="方正仿宋_GBK"/>
          <w:bCs/>
          <w:color w:val="000000" w:themeColor="text1"/>
          <w:sz w:val="32"/>
          <w:szCs w:val="32"/>
          <w14:textFill>
            <w14:solidFill>
              <w14:schemeClr w14:val="tx1"/>
            </w14:solidFill>
          </w14:textFill>
        </w:rPr>
        <w:t>参赛报名表</w:t>
      </w:r>
      <w:bookmarkEnd w:id="1"/>
      <w:r>
        <w:rPr>
          <w:rFonts w:eastAsia="方正仿宋_GBK"/>
          <w:bCs/>
          <w:color w:val="000000" w:themeColor="text1"/>
          <w:sz w:val="32"/>
          <w:szCs w:val="32"/>
          <w14:textFill>
            <w14:solidFill>
              <w14:schemeClr w14:val="tx1"/>
            </w14:solidFill>
          </w14:textFill>
        </w:rPr>
        <w:t>（所有信息与系统中填报信息保持严格一致）。</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请将参赛报名表、作品算法设计和软件设计方案的PDF文档、程序或软件合并在一个文件夹，以压缩包格式上传至网站指定路径（https://challenge.dtxiaotangren.com）。压缩包名称格式：提报单位（学校全称）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p>
    <w:p>
      <w:pPr>
        <w:pStyle w:val="3"/>
        <w:pageBreakBefore w:val="0"/>
        <w:widowControl/>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赛事保障</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eastAsia="方正仿宋_GBK"/>
          <w:bCs/>
          <w:spacing w:val="6"/>
          <w:sz w:val="32"/>
          <w:szCs w:val="32"/>
        </w:rPr>
      </w:pPr>
      <w:r>
        <w:rPr>
          <w:rFonts w:eastAsia="方正仿宋_GBK"/>
          <w:bCs/>
          <w:spacing w:val="6"/>
          <w:sz w:val="32"/>
          <w:szCs w:val="32"/>
        </w:rPr>
        <w:t>1. 本单位将协助参赛者获取作品设计所需的多模影像数据集，如眼底照相、OCT等。</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eastAsia="方正仿宋_GBK"/>
          <w:bCs/>
          <w:spacing w:val="6"/>
          <w:sz w:val="32"/>
          <w:szCs w:val="32"/>
          <w:lang w:val="en-US"/>
        </w:rPr>
      </w:pPr>
      <w:r>
        <w:rPr>
          <w:rFonts w:eastAsia="方正仿宋_GBK"/>
          <w:bCs/>
          <w:spacing w:val="6"/>
          <w:sz w:val="32"/>
          <w:szCs w:val="32"/>
        </w:rPr>
        <w:t>2. 本单位将</w:t>
      </w:r>
      <w:r>
        <w:rPr>
          <w:rFonts w:eastAsia="方正仿宋_GBK"/>
          <w:sz w:val="32"/>
          <w:szCs w:val="32"/>
          <w:lang w:val="en-US"/>
        </w:rPr>
        <w:t>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3. 对于参加本项目的参赛团队，本单位可以根据团队的实际需求，在参观交流、相关资料（不涉密）、专业指导以及其他项目必须条件等方面提供帮助。</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赛事办公室设在中国人民解放军空军特色医学中心医研部科研学术组，参赛过程中，参赛团队如需本单位提供与项目相关的其他必须帮助，请提前与赛事办公室联系，我们将在许可范围内给予参赛团队帮助。</w:t>
      </w:r>
    </w:p>
    <w:p>
      <w:pPr>
        <w:pStyle w:val="3"/>
        <w:pageBreakBefore w:val="0"/>
        <w:widowControl/>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widowControl/>
        <w:numPr>
          <w:ilvl w:val="0"/>
          <w:numId w:val="7"/>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设特等奖5个，一等奖5个、二、三等奖6个，从特等奖获奖团队中决出1个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擂主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p>
    <w:p>
      <w:pPr>
        <w:pStyle w:val="4"/>
        <w:pageBreakBefore w:val="0"/>
        <w:widowControl/>
        <w:numPr>
          <w:ilvl w:val="0"/>
          <w:numId w:val="7"/>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eastAsia="方正仿宋_GBK"/>
          <w:color w:val="000000" w:themeColor="text1"/>
          <w:sz w:val="32"/>
          <w:szCs w:val="32"/>
          <w:lang w:val="en-US"/>
          <w14:textFill>
            <w14:solidFill>
              <w14:schemeClr w14:val="tx1"/>
            </w14:solidFill>
          </w14:textFill>
        </w:rPr>
        <w:t>本</w:t>
      </w:r>
      <w:r>
        <w:rPr>
          <w:rFonts w:eastAsia="方正仿宋_GBK"/>
          <w:sz w:val="32"/>
          <w:szCs w:val="32"/>
          <w:lang w:val="en-US"/>
        </w:rPr>
        <w:t>单位将结合项目实际，拟奖</w:t>
      </w:r>
      <w:r>
        <w:rPr>
          <w:rFonts w:hint="eastAsia" w:ascii="方正仿宋_GBK" w:hAnsi="方正仿宋_GBK" w:eastAsia="方正仿宋_GBK" w:cs="方正仿宋_GBK"/>
          <w:sz w:val="32"/>
          <w:szCs w:val="32"/>
          <w:lang w:val="en-US"/>
        </w:rPr>
        <w:t>励</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擂主</w:t>
      </w:r>
      <w:r>
        <w:rPr>
          <w:rFonts w:hint="eastAsia" w:ascii="方正仿宋_GBK" w:hAnsi="方正仿宋_GBK" w:eastAsia="方正仿宋_GBK" w:cs="方正仿宋_GBK"/>
          <w:sz w:val="32"/>
          <w:szCs w:val="32"/>
          <w:lang w:val="en-US" w:eastAsia="zh-CN"/>
        </w:rPr>
        <w:t>”</w:t>
      </w:r>
      <w:r>
        <w:rPr>
          <w:rFonts w:eastAsia="方正仿宋_GBK"/>
          <w:sz w:val="32"/>
          <w:szCs w:val="32"/>
          <w:lang w:val="en-US"/>
        </w:rPr>
        <w:t>队伍10000元；特等奖每支队伍4000元</w:t>
      </w:r>
      <w:r>
        <w:rPr>
          <w:rFonts w:hint="eastAsia" w:eastAsia="方正仿宋_GBK"/>
          <w:sz w:val="32"/>
          <w:szCs w:val="32"/>
          <w:lang w:val="en-US" w:eastAsia="zh-CN"/>
        </w:rPr>
        <w:t>（不含“擂主”）</w:t>
      </w:r>
      <w:r>
        <w:rPr>
          <w:rFonts w:eastAsia="方正仿宋_GBK"/>
          <w:sz w:val="32"/>
          <w:szCs w:val="32"/>
          <w:lang w:val="en-US"/>
        </w:rPr>
        <w:t>；奖励一等奖每支队伍3000元；奖励二等奖每支队伍1000元；奖励三等奖每支队伍500元。</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工作成果如获出题方认可，可投入应用实践，在无知识产权纠纷的前提下，本单位将为进一步合作开发给予支持。</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eastAsia="方正仿宋_GBK"/>
          <w:sz w:val="32"/>
          <w:szCs w:val="32"/>
          <w:lang w:val="en-US"/>
        </w:rPr>
        <w:t>获奖的参赛团队，为其提供本单位人才培养实践基地的研究和实习名额，研究生可开展相关领域研究工作、本科生可进行课程实习和毕业设计。</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针对攻擂成功的参赛小组，将为其核心骨干成员提供优先就业机会，在本单位直招军官、文职人员、聘用人员招聘录用时优先录取。</w:t>
      </w:r>
    </w:p>
    <w:p>
      <w:pPr>
        <w:pStyle w:val="4"/>
        <w:pageBreakBefore w:val="0"/>
        <w:widowControl/>
        <w:numPr>
          <w:ilvl w:val="0"/>
          <w:numId w:val="7"/>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lang w:val="en-US"/>
        </w:rPr>
      </w:pPr>
      <w:r>
        <w:rPr>
          <w:rFonts w:ascii="Times New Roman" w:hAnsi="Times New Roman" w:eastAsia="方正黑体_GBK"/>
          <w:lang w:val="en-US"/>
        </w:rPr>
        <w:t>比赛专班联系方式</w:t>
      </w:r>
    </w:p>
    <w:p>
      <w:pPr>
        <w:pStyle w:val="4"/>
        <w:pageBreakBefore w:val="0"/>
        <w:widowControl/>
        <w:numPr>
          <w:ilvl w:val="0"/>
          <w:numId w:val="9"/>
        </w:numPr>
        <w:kinsoku/>
        <w:wordWrap/>
        <w:overflowPunct/>
        <w:topLinePunct w:val="0"/>
        <w:autoSpaceDE/>
        <w:autoSpaceDN/>
        <w:bidi w:val="0"/>
        <w:ind w:left="0" w:firstLine="640" w:firstLineChars="200"/>
        <w:textAlignment w:val="auto"/>
        <w:rPr>
          <w:rFonts w:ascii="Times New Roman" w:hAnsi="Times New Roman" w:eastAsia="方正楷体_GBK"/>
          <w:lang w:val="en-US"/>
        </w:rPr>
      </w:pPr>
      <w:r>
        <w:rPr>
          <w:rFonts w:ascii="Times New Roman" w:hAnsi="Times New Roman" w:eastAsia="方正楷体_GBK"/>
          <w:lang w:val="en-US"/>
        </w:rPr>
        <w:t>专家指导团队</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lang w:val="en-US"/>
        </w:rPr>
      </w:pPr>
      <w:r>
        <w:rPr>
          <w:rFonts w:eastAsia="方正仿宋_GBK"/>
          <w:sz w:val="32"/>
          <w:szCs w:val="32"/>
          <w:lang w:val="en-US"/>
        </w:rPr>
        <w:t xml:space="preserve">联络专员：赵老师，联系方式：18511078626 </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lang w:val="en-US"/>
        </w:rPr>
      </w:pPr>
      <w:r>
        <w:rPr>
          <w:rFonts w:eastAsia="方正仿宋_GBK"/>
          <w:sz w:val="32"/>
          <w:szCs w:val="32"/>
          <w:lang w:val="en-US"/>
        </w:rPr>
        <w:t>指导专家：吴老师，联系方式：18611526738</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lang w:val="en-US"/>
        </w:rPr>
      </w:pPr>
      <w:r>
        <w:rPr>
          <w:rFonts w:eastAsia="方正仿宋_GBK"/>
          <w:sz w:val="32"/>
          <w:szCs w:val="32"/>
          <w:lang w:val="en-US"/>
        </w:rPr>
        <w:t>负责比赛进行期间技术指导保障。</w:t>
      </w:r>
    </w:p>
    <w:p>
      <w:pPr>
        <w:pStyle w:val="4"/>
        <w:pageBreakBefore w:val="0"/>
        <w:widowControl/>
        <w:numPr>
          <w:ilvl w:val="0"/>
          <w:numId w:val="9"/>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联络专员：张老师，联系方式：19105570219</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lang w:val="en-US"/>
        </w:rPr>
      </w:pPr>
      <w:r>
        <w:rPr>
          <w:rFonts w:eastAsia="方正仿宋_GBK"/>
          <w:sz w:val="32"/>
          <w:szCs w:val="32"/>
          <w:lang w:val="en-US"/>
        </w:rPr>
        <w:t>负责比赛进行期间组织服务及后期相关赛务协调联络。</w:t>
      </w:r>
    </w:p>
    <w:p>
      <w:pPr>
        <w:pStyle w:val="4"/>
        <w:pageBreakBefore w:val="0"/>
        <w:widowControl/>
        <w:numPr>
          <w:ilvl w:val="0"/>
          <w:numId w:val="9"/>
        </w:numPr>
        <w:kinsoku/>
        <w:wordWrap/>
        <w:overflowPunct/>
        <w:topLinePunct w:val="0"/>
        <w:autoSpaceDE/>
        <w:autoSpaceDN/>
        <w:bidi w:val="0"/>
        <w:ind w:left="0" w:firstLine="640" w:firstLineChars="200"/>
        <w:textAlignment w:val="auto"/>
        <w:rPr>
          <w:rFonts w:ascii="Times New Roman" w:hAnsi="Times New Roman" w:eastAsia="方正楷体_GBK"/>
          <w:lang w:val="en-US"/>
        </w:rPr>
      </w:pPr>
      <w:r>
        <w:rPr>
          <w:rFonts w:ascii="Times New Roman" w:hAnsi="Times New Roman" w:eastAsia="方正楷体_GBK"/>
          <w:lang w:val="en-US"/>
        </w:rPr>
        <w:t>联系时间</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sz w:val="32"/>
          <w:szCs w:val="32"/>
          <w:lang w:val="en-US"/>
        </w:rPr>
      </w:pPr>
      <w:r>
        <w:rPr>
          <w:rFonts w:eastAsia="方正仿宋_GBK"/>
          <w:sz w:val="32"/>
          <w:szCs w:val="32"/>
          <w:lang w:val="en-US"/>
        </w:rPr>
        <w:t>比赛进行期间工作日（8:30-11:30，14:00-17:30）</w:t>
      </w:r>
    </w:p>
    <w:p>
      <w:pPr>
        <w:pageBreakBefore w:val="0"/>
        <w:widowControl/>
        <w:kinsoku/>
        <w:wordWrap/>
        <w:overflowPunct/>
        <w:topLinePunct w:val="0"/>
        <w:autoSpaceDE/>
        <w:autoSpaceDN/>
        <w:bidi w:val="0"/>
        <w:spacing w:line="560" w:lineRule="exact"/>
        <w:ind w:left="0" w:firstLine="640" w:firstLineChars="200"/>
        <w:jc w:val="right"/>
        <w:textAlignment w:val="auto"/>
        <w:rPr>
          <w:rFonts w:hint="eastAsia" w:eastAsia="方正仿宋_GBK"/>
          <w:sz w:val="32"/>
          <w:szCs w:val="32"/>
          <w:lang w:val="en-US"/>
        </w:rPr>
      </w:pPr>
      <w:r>
        <w:rPr>
          <w:rFonts w:hint="eastAsia" w:eastAsia="方正仿宋_GBK"/>
          <w:sz w:val="32"/>
          <w:szCs w:val="32"/>
          <w:lang w:val="en-US"/>
        </w:rPr>
        <w:t>中国人民解放军空军特色医学中心</w:t>
      </w: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sz w:val="32"/>
          <w:szCs w:val="32"/>
          <w:lang w:val="en-US"/>
        </w:rPr>
        <w:t>中国人民解放军空军特色医学</w:t>
      </w:r>
      <w:r>
        <w:rPr>
          <w:rFonts w:eastAsia="方正仿宋_GBK"/>
          <w:color w:val="000000" w:themeColor="text1"/>
          <w:sz w:val="32"/>
          <w:szCs w:val="32"/>
          <w:lang w:val="en-US"/>
          <w14:textFill>
            <w14:solidFill>
              <w14:schemeClr w14:val="tx1"/>
            </w14:solidFill>
          </w14:textFill>
        </w:rPr>
        <w:t>中心成立于2018年9月，由原空军总医院、航空医学研究所2个正师级、载人离心机医学训练基地和疾病预防控制中心2个正团级单位调整组建，正师级建制，隶属空军军医大学领导管理。中心共有4个院落</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地处海淀区阜成路28号的原航医所，现为中心东区，占地66亩；地处海淀区阜成路30号的原空军总医院，现为中心西区，占地227亩；地处海淀区昌运宫15号的原医训基地，现为中心北区，占地94亩；地处丰台区警备东路6号的原疾控中心，现为中心南区，占地33亩</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占地420亩，建筑总面积56.3万平方米。目前共有2个国家中医药管理局重点学科</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皮肤和正骨</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、3个全军临床重点专科</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航空医学、皮肤、口腔</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、8个全军医学专科</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专病</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中心</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临床航空医学、中西医结合正骨治疗、半匹配骨髓移植、肿瘤放疗、小肠疾病内镜诊治、泌尿微创诊疗、优生优育技术指导、心理技术指导中心</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、5个全军重点实验室</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装备人机工效、航空医学保障、飞行员选拔鉴定、飞行人员体能精准提升、航空生理训练</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和18个专业实验室；现有空军级专家3名，空军高层次科技人才64名，研究生导师183名，技术3级以上专家3名，中央和中央军委保健会诊专家15名，任军地学术团体副主委以上职务34名；拥有15G高性能大型载人离心机、40km低压复合环境试验舱群、空间定向障碍模拟器、</w:t>
      </w:r>
      <w:r>
        <w:rPr>
          <w:rFonts w:hint="eastAsia" w:eastAsia="方正仿宋_GBK"/>
          <w:color w:val="000000" w:themeColor="text1"/>
          <w:sz w:val="32"/>
          <w:szCs w:val="32"/>
          <w:lang w:val="en-US" w:eastAsia="zh-CN"/>
          <w14:textFill>
            <w14:solidFill>
              <w14:schemeClr w14:val="tx1"/>
            </w14:solidFill>
          </w14:textFill>
        </w:rPr>
        <w:t>达·芬奇</w:t>
      </w:r>
      <w:r>
        <w:rPr>
          <w:rFonts w:eastAsia="方正仿宋_GBK"/>
          <w:color w:val="000000" w:themeColor="text1"/>
          <w:sz w:val="32"/>
          <w:szCs w:val="32"/>
          <w:lang w:val="en-US"/>
          <w14:textFill>
            <w14:solidFill>
              <w14:schemeClr w14:val="tx1"/>
            </w14:solidFill>
          </w14:textFill>
        </w:rPr>
        <w:t>手术机器人、PET-CT、高低场核磁等高端航空医学鉴定训练设备，总值约14.4亿元。</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空军特色医学中心眼科，创建于1956年</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经过历代眼科人的努力，现技术力量雄厚，现眼科分为眼前节、眼底及眼眶眼整形3个亚专业方向、4个专业组，不仅在常见病、多发病的诊断和治疗上经验丰富，还能够高质量完成玻璃体视网膜疾病、严重眼外伤、飞行人员相关疾病的诊疗。眼科疾病整体诊疗能力始终与国内一流水平看齐近。近年来完成手术数量及难度，均居首都地区部队医院第2名，多次获评临床工作先进单位。年门诊量近5万人次，年手术量2000余台次。医疗设备先进齐全</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拥有先进、精准的眼科检查设备以及国际领先的治疗设备，包括TOMEY OA-2000，德国蔡司IOL Master、Nidek自动综合验光仪、OQAS视觉展量分析仪、Catalys飞秒激光眼科治疗系统等。现展开床位27张，工作人员45人</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其中医疗系列21人，护士21人</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技师</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人，高级职称4人，研究生导师2人，博士12人，研究生8人。</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p>
    <w:sectPr>
      <w:footerReference r:id="rId3" w:type="default"/>
      <w:pgSz w:w="11906" w:h="16838"/>
      <w:pgMar w:top="1985"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59565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1588"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2764748A"/>
    <w:multiLevelType w:val="singleLevel"/>
    <w:tmpl w:val="2764748A"/>
    <w:lvl w:ilvl="0" w:tentative="0">
      <w:start w:val="1"/>
      <w:numFmt w:val="decimal"/>
      <w:suff w:val="space"/>
      <w:lvlText w:val="（%1）"/>
      <w:lvlJc w:val="left"/>
    </w:lvl>
  </w:abstractNum>
  <w:abstractNum w:abstractNumId="5">
    <w:nsid w:val="482C7BB5"/>
    <w:multiLevelType w:val="multilevel"/>
    <w:tmpl w:val="482C7BB5"/>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52994999"/>
    <w:multiLevelType w:val="singleLevel"/>
    <w:tmpl w:val="52994999"/>
    <w:lvl w:ilvl="0" w:tentative="0">
      <w:start w:val="1"/>
      <w:numFmt w:val="decimal"/>
      <w:pStyle w:val="4"/>
      <w:suff w:val="space"/>
      <w:lvlText w:val="%1."/>
      <w:lvlJc w:val="left"/>
      <w:pPr>
        <w:ind w:left="9243" w:hanging="454"/>
      </w:pPr>
      <w:rPr>
        <w:rFonts w:hint="default" w:eastAsia="方正仿宋楷体"/>
        <w:sz w:val="32"/>
        <w:szCs w:val="32"/>
      </w:r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6"/>
    <w:lvlOverride w:ilvl="0">
      <w:startOverride w:val="1"/>
    </w:lvlOverride>
  </w:num>
  <w:num w:numId="8">
    <w:abstractNumId w:val="1"/>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40EE1"/>
    <w:rsid w:val="00057714"/>
    <w:rsid w:val="000626B0"/>
    <w:rsid w:val="00064968"/>
    <w:rsid w:val="00075C5A"/>
    <w:rsid w:val="0007709D"/>
    <w:rsid w:val="000A6775"/>
    <w:rsid w:val="000D57EF"/>
    <w:rsid w:val="0010211D"/>
    <w:rsid w:val="0011069F"/>
    <w:rsid w:val="00111E5D"/>
    <w:rsid w:val="00120156"/>
    <w:rsid w:val="001367A9"/>
    <w:rsid w:val="00143054"/>
    <w:rsid w:val="0015421C"/>
    <w:rsid w:val="001579F2"/>
    <w:rsid w:val="00164C26"/>
    <w:rsid w:val="0016564C"/>
    <w:rsid w:val="001836F5"/>
    <w:rsid w:val="001B0956"/>
    <w:rsid w:val="001B0D74"/>
    <w:rsid w:val="001B2C6C"/>
    <w:rsid w:val="001C0DFA"/>
    <w:rsid w:val="001D0729"/>
    <w:rsid w:val="001E3C58"/>
    <w:rsid w:val="001E760D"/>
    <w:rsid w:val="001E77C2"/>
    <w:rsid w:val="001F6CC8"/>
    <w:rsid w:val="0020086A"/>
    <w:rsid w:val="00205E3B"/>
    <w:rsid w:val="00236E3E"/>
    <w:rsid w:val="00247DFB"/>
    <w:rsid w:val="002560B0"/>
    <w:rsid w:val="00281AE9"/>
    <w:rsid w:val="00283877"/>
    <w:rsid w:val="002938E3"/>
    <w:rsid w:val="00297376"/>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308F"/>
    <w:rsid w:val="0044592C"/>
    <w:rsid w:val="0045516C"/>
    <w:rsid w:val="00463782"/>
    <w:rsid w:val="00471974"/>
    <w:rsid w:val="00476A7D"/>
    <w:rsid w:val="00483410"/>
    <w:rsid w:val="004876C3"/>
    <w:rsid w:val="0049319F"/>
    <w:rsid w:val="00494F44"/>
    <w:rsid w:val="00496D3E"/>
    <w:rsid w:val="004A0A91"/>
    <w:rsid w:val="004B00B4"/>
    <w:rsid w:val="004B01E5"/>
    <w:rsid w:val="004B6FF1"/>
    <w:rsid w:val="004C19A1"/>
    <w:rsid w:val="004C729E"/>
    <w:rsid w:val="004D0FC5"/>
    <w:rsid w:val="004F30AF"/>
    <w:rsid w:val="004F3DC9"/>
    <w:rsid w:val="00517736"/>
    <w:rsid w:val="00532B4E"/>
    <w:rsid w:val="005333BA"/>
    <w:rsid w:val="00537F15"/>
    <w:rsid w:val="00553DCC"/>
    <w:rsid w:val="00554C5C"/>
    <w:rsid w:val="005579AD"/>
    <w:rsid w:val="005753FB"/>
    <w:rsid w:val="00577641"/>
    <w:rsid w:val="00580524"/>
    <w:rsid w:val="00585CAC"/>
    <w:rsid w:val="005944CA"/>
    <w:rsid w:val="005A1799"/>
    <w:rsid w:val="005A5BBF"/>
    <w:rsid w:val="005A7B1F"/>
    <w:rsid w:val="005C1AAC"/>
    <w:rsid w:val="005D33E1"/>
    <w:rsid w:val="005D67D6"/>
    <w:rsid w:val="005E0F11"/>
    <w:rsid w:val="00603AF5"/>
    <w:rsid w:val="006047E7"/>
    <w:rsid w:val="00606DA8"/>
    <w:rsid w:val="00613673"/>
    <w:rsid w:val="00613AAA"/>
    <w:rsid w:val="006226BA"/>
    <w:rsid w:val="00633F6B"/>
    <w:rsid w:val="00636F96"/>
    <w:rsid w:val="00663468"/>
    <w:rsid w:val="0066573D"/>
    <w:rsid w:val="0068166A"/>
    <w:rsid w:val="00683446"/>
    <w:rsid w:val="00692EEC"/>
    <w:rsid w:val="006A3A6E"/>
    <w:rsid w:val="006A51DF"/>
    <w:rsid w:val="006C3959"/>
    <w:rsid w:val="006C732F"/>
    <w:rsid w:val="006E6DDA"/>
    <w:rsid w:val="006E73AD"/>
    <w:rsid w:val="007216F0"/>
    <w:rsid w:val="0073249A"/>
    <w:rsid w:val="00746651"/>
    <w:rsid w:val="00760524"/>
    <w:rsid w:val="00765C33"/>
    <w:rsid w:val="00772042"/>
    <w:rsid w:val="00777C79"/>
    <w:rsid w:val="007879EC"/>
    <w:rsid w:val="007B600D"/>
    <w:rsid w:val="007F195A"/>
    <w:rsid w:val="00805D49"/>
    <w:rsid w:val="008078A9"/>
    <w:rsid w:val="00816F55"/>
    <w:rsid w:val="00825FD8"/>
    <w:rsid w:val="008313DD"/>
    <w:rsid w:val="008321B0"/>
    <w:rsid w:val="00851D22"/>
    <w:rsid w:val="00851D33"/>
    <w:rsid w:val="00860FD3"/>
    <w:rsid w:val="008669B5"/>
    <w:rsid w:val="00867EEA"/>
    <w:rsid w:val="00872C0C"/>
    <w:rsid w:val="008769EE"/>
    <w:rsid w:val="0088143A"/>
    <w:rsid w:val="008836AC"/>
    <w:rsid w:val="00887D7E"/>
    <w:rsid w:val="0089086B"/>
    <w:rsid w:val="008B0A4F"/>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9F09E4"/>
    <w:rsid w:val="00A0235C"/>
    <w:rsid w:val="00A22759"/>
    <w:rsid w:val="00A30D68"/>
    <w:rsid w:val="00A31A98"/>
    <w:rsid w:val="00A4232F"/>
    <w:rsid w:val="00A43480"/>
    <w:rsid w:val="00A460CE"/>
    <w:rsid w:val="00A9444C"/>
    <w:rsid w:val="00AA7BD8"/>
    <w:rsid w:val="00AB1BF4"/>
    <w:rsid w:val="00AC329B"/>
    <w:rsid w:val="00AD025A"/>
    <w:rsid w:val="00AD24CF"/>
    <w:rsid w:val="00AD2F86"/>
    <w:rsid w:val="00AD52B7"/>
    <w:rsid w:val="00AD64EE"/>
    <w:rsid w:val="00AD6CFA"/>
    <w:rsid w:val="00AE66B7"/>
    <w:rsid w:val="00B0258C"/>
    <w:rsid w:val="00B32E7F"/>
    <w:rsid w:val="00B40CAF"/>
    <w:rsid w:val="00B444BA"/>
    <w:rsid w:val="00B52CCC"/>
    <w:rsid w:val="00B70A95"/>
    <w:rsid w:val="00B7562F"/>
    <w:rsid w:val="00B80EC7"/>
    <w:rsid w:val="00BA70BA"/>
    <w:rsid w:val="00BC1B59"/>
    <w:rsid w:val="00BD67D2"/>
    <w:rsid w:val="00BE634B"/>
    <w:rsid w:val="00BF4E2D"/>
    <w:rsid w:val="00C217F1"/>
    <w:rsid w:val="00C21B6E"/>
    <w:rsid w:val="00C24C93"/>
    <w:rsid w:val="00C31A0F"/>
    <w:rsid w:val="00C57AA5"/>
    <w:rsid w:val="00C60328"/>
    <w:rsid w:val="00C678B8"/>
    <w:rsid w:val="00C81301"/>
    <w:rsid w:val="00C82B11"/>
    <w:rsid w:val="00C90F03"/>
    <w:rsid w:val="00C97BA0"/>
    <w:rsid w:val="00CB5FAC"/>
    <w:rsid w:val="00CC699D"/>
    <w:rsid w:val="00D05DE3"/>
    <w:rsid w:val="00D177D1"/>
    <w:rsid w:val="00D474E2"/>
    <w:rsid w:val="00D531BB"/>
    <w:rsid w:val="00D55D40"/>
    <w:rsid w:val="00D64A7B"/>
    <w:rsid w:val="00D71164"/>
    <w:rsid w:val="00D755E0"/>
    <w:rsid w:val="00D8092B"/>
    <w:rsid w:val="00D826F5"/>
    <w:rsid w:val="00D905C1"/>
    <w:rsid w:val="00DA4A6A"/>
    <w:rsid w:val="00DB02D9"/>
    <w:rsid w:val="00DB59F1"/>
    <w:rsid w:val="00DD6820"/>
    <w:rsid w:val="00DE25C7"/>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559CD"/>
    <w:rsid w:val="00E65FC6"/>
    <w:rsid w:val="00E72C07"/>
    <w:rsid w:val="00E909FD"/>
    <w:rsid w:val="00E97F17"/>
    <w:rsid w:val="00EA0B44"/>
    <w:rsid w:val="00EA697C"/>
    <w:rsid w:val="00EB1E9B"/>
    <w:rsid w:val="00EB2BDB"/>
    <w:rsid w:val="00EB4B20"/>
    <w:rsid w:val="00EF3C50"/>
    <w:rsid w:val="00F033C1"/>
    <w:rsid w:val="00F1317D"/>
    <w:rsid w:val="00F256C4"/>
    <w:rsid w:val="00F26931"/>
    <w:rsid w:val="00F35525"/>
    <w:rsid w:val="00F47649"/>
    <w:rsid w:val="00F57CAE"/>
    <w:rsid w:val="00F70F5B"/>
    <w:rsid w:val="00F74A1C"/>
    <w:rsid w:val="00F75202"/>
    <w:rsid w:val="00F910DA"/>
    <w:rsid w:val="00FA1D99"/>
    <w:rsid w:val="00FA3792"/>
    <w:rsid w:val="00FC3910"/>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180C91"/>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6F04A91"/>
    <w:rsid w:val="375B41E8"/>
    <w:rsid w:val="377F46BC"/>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3EA5BEB"/>
    <w:rsid w:val="44362561"/>
    <w:rsid w:val="443B2D53"/>
    <w:rsid w:val="445341F2"/>
    <w:rsid w:val="44834750"/>
    <w:rsid w:val="44DB2ACE"/>
    <w:rsid w:val="458849D3"/>
    <w:rsid w:val="45A06791"/>
    <w:rsid w:val="45B1292D"/>
    <w:rsid w:val="45BE2A1A"/>
    <w:rsid w:val="45BF74A8"/>
    <w:rsid w:val="45CD38CF"/>
    <w:rsid w:val="462E307C"/>
    <w:rsid w:val="464072B5"/>
    <w:rsid w:val="464D21B7"/>
    <w:rsid w:val="46CA635B"/>
    <w:rsid w:val="479228E4"/>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947E01"/>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6E48CE"/>
    <w:rsid w:val="5D8A2234"/>
    <w:rsid w:val="5DA37A9B"/>
    <w:rsid w:val="5DE96312"/>
    <w:rsid w:val="5E334000"/>
    <w:rsid w:val="5E69296F"/>
    <w:rsid w:val="5ED50225"/>
    <w:rsid w:val="5EDF3848"/>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4A747B"/>
    <w:rsid w:val="696D41C4"/>
    <w:rsid w:val="69BF1317"/>
    <w:rsid w:val="69ED05F9"/>
    <w:rsid w:val="6B263ACF"/>
    <w:rsid w:val="6B73602A"/>
    <w:rsid w:val="6B8B6CF1"/>
    <w:rsid w:val="6BDF6CC4"/>
    <w:rsid w:val="6C152AE5"/>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6E002DE"/>
    <w:rsid w:val="77740E18"/>
    <w:rsid w:val="780A371A"/>
    <w:rsid w:val="781101C0"/>
    <w:rsid w:val="7824373B"/>
    <w:rsid w:val="7831103D"/>
    <w:rsid w:val="784521A0"/>
    <w:rsid w:val="785B5D23"/>
    <w:rsid w:val="786755ED"/>
    <w:rsid w:val="788D1579"/>
    <w:rsid w:val="78AE035E"/>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22"/>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1">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unhideWhenUsed/>
    <w:qFormat/>
    <w:uiPriority w:val="99"/>
  </w:style>
  <w:style w:type="paragraph" w:styleId="6">
    <w:name w:val="footer"/>
    <w:basedOn w:val="1"/>
    <w:link w:val="18"/>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9">
    <w:name w:val="annotation subject"/>
    <w:basedOn w:val="5"/>
    <w:next w:val="5"/>
    <w:link w:val="26"/>
    <w:autoRedefine/>
    <w:semiHidden/>
    <w:unhideWhenUsed/>
    <w:qFormat/>
    <w:uiPriority w:val="99"/>
    <w:rPr>
      <w:b/>
      <w:bCs/>
    </w:rPr>
  </w:style>
  <w:style w:type="character" w:styleId="12">
    <w:name w:val="Strong"/>
    <w:autoRedefine/>
    <w:qFormat/>
    <w:uiPriority w:val="22"/>
    <w:rPr>
      <w:b/>
      <w:bCs/>
    </w:rPr>
  </w:style>
  <w:style w:type="character" w:styleId="13">
    <w:name w:val="FollowedHyperlink"/>
    <w:basedOn w:val="11"/>
    <w:autoRedefine/>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autoRedefine/>
    <w:qFormat/>
    <w:uiPriority w:val="20"/>
    <w:rPr>
      <w:i/>
      <w:iCs/>
    </w:rPr>
  </w:style>
  <w:style w:type="character" w:styleId="15">
    <w:name w:val="Hyperlink"/>
    <w:basedOn w:val="11"/>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1"/>
    <w:autoRedefine/>
    <w:semiHidden/>
    <w:unhideWhenUsed/>
    <w:qFormat/>
    <w:uiPriority w:val="99"/>
    <w:rPr>
      <w:sz w:val="21"/>
      <w:szCs w:val="21"/>
    </w:rPr>
  </w:style>
  <w:style w:type="character" w:customStyle="1" w:styleId="17">
    <w:name w:val="页眉 字符"/>
    <w:basedOn w:val="11"/>
    <w:link w:val="7"/>
    <w:autoRedefine/>
    <w:qFormat/>
    <w:uiPriority w:val="99"/>
    <w:rPr>
      <w:sz w:val="18"/>
      <w:szCs w:val="18"/>
    </w:rPr>
  </w:style>
  <w:style w:type="character" w:customStyle="1" w:styleId="18">
    <w:name w:val="页脚 字符"/>
    <w:basedOn w:val="11"/>
    <w:link w:val="6"/>
    <w:autoRedefine/>
    <w:qFormat/>
    <w:uiPriority w:val="99"/>
    <w:rPr>
      <w:sz w:val="18"/>
      <w:szCs w:val="18"/>
    </w:rPr>
  </w:style>
  <w:style w:type="character" w:customStyle="1" w:styleId="19">
    <w:name w:val="未处理的提及1"/>
    <w:basedOn w:val="11"/>
    <w:autoRedefine/>
    <w:semiHidden/>
    <w:unhideWhenUsed/>
    <w:qFormat/>
    <w:uiPriority w:val="99"/>
    <w:rPr>
      <w:color w:val="605E5C"/>
      <w:shd w:val="clear" w:color="auto" w:fill="E1DFDD"/>
    </w:rPr>
  </w:style>
  <w:style w:type="paragraph" w:styleId="20">
    <w:name w:val="List Paragraph"/>
    <w:basedOn w:val="1"/>
    <w:autoRedefine/>
    <w:qFormat/>
    <w:uiPriority w:val="34"/>
    <w:pPr>
      <w:ind w:firstLine="420" w:firstLineChars="200"/>
    </w:pPr>
  </w:style>
  <w:style w:type="character" w:customStyle="1" w:styleId="21">
    <w:name w:val="未处理的提及2"/>
    <w:basedOn w:val="11"/>
    <w:autoRedefine/>
    <w:semiHidden/>
    <w:unhideWhenUsed/>
    <w:qFormat/>
    <w:uiPriority w:val="99"/>
    <w:rPr>
      <w:color w:val="605E5C"/>
      <w:shd w:val="clear" w:color="auto" w:fill="E1DFDD"/>
    </w:rPr>
  </w:style>
  <w:style w:type="character" w:customStyle="1" w:styleId="22">
    <w:name w:val="标题 3 字符"/>
    <w:link w:val="4"/>
    <w:autoRedefine/>
    <w:qFormat/>
    <w:uiPriority w:val="0"/>
    <w:rPr>
      <w:rFonts w:ascii="方正楷体简体" w:hAnsi="方正楷体简体" w:eastAsia="方正楷体简体"/>
      <w:sz w:val="32"/>
    </w:rPr>
  </w:style>
  <w:style w:type="table" w:customStyle="1" w:styleId="23">
    <w:name w:val="Table Normal1"/>
    <w:autoRedefine/>
    <w:semiHidden/>
    <w:unhideWhenUsed/>
    <w:qFormat/>
    <w:uiPriority w:val="0"/>
    <w:tblPr>
      <w:tblCellMar>
        <w:top w:w="0" w:type="dxa"/>
        <w:left w:w="0" w:type="dxa"/>
        <w:bottom w:w="0" w:type="dxa"/>
        <w:right w:w="0" w:type="dxa"/>
      </w:tblCellMar>
    </w:tblPr>
  </w:style>
  <w:style w:type="character" w:customStyle="1" w:styleId="24">
    <w:name w:val="Unresolved Mention"/>
    <w:basedOn w:val="11"/>
    <w:autoRedefine/>
    <w:semiHidden/>
    <w:unhideWhenUsed/>
    <w:qFormat/>
    <w:uiPriority w:val="99"/>
    <w:rPr>
      <w:color w:val="605E5C"/>
      <w:shd w:val="clear" w:color="auto" w:fill="E1DFDD"/>
    </w:rPr>
  </w:style>
  <w:style w:type="character" w:customStyle="1" w:styleId="25">
    <w:name w:val="批注文字 字符"/>
    <w:basedOn w:val="11"/>
    <w:link w:val="5"/>
    <w:autoRedefine/>
    <w:qFormat/>
    <w:uiPriority w:val="99"/>
    <w:rPr>
      <w:rFonts w:eastAsia="Times New Roman"/>
      <w:sz w:val="24"/>
      <w:szCs w:val="24"/>
      <w:lang w:val="en-GB"/>
    </w:rPr>
  </w:style>
  <w:style w:type="character" w:customStyle="1" w:styleId="26">
    <w:name w:val="批注主题 字符"/>
    <w:basedOn w:val="25"/>
    <w:link w:val="9"/>
    <w:autoRedefine/>
    <w:semiHidden/>
    <w:qFormat/>
    <w:uiPriority w:val="99"/>
    <w:rPr>
      <w:rFonts w:eastAsia="Times New Roman"/>
      <w:b/>
      <w:bCs/>
      <w:sz w:val="24"/>
      <w:szCs w:val="24"/>
      <w:lang w:val="en-GB"/>
    </w:rPr>
  </w:style>
  <w:style w:type="paragraph" w:customStyle="1" w:styleId="27">
    <w:name w:val="Revision"/>
    <w:autoRedefine/>
    <w:hidden/>
    <w:unhideWhenUsed/>
    <w:qFormat/>
    <w:uiPriority w:val="99"/>
    <w:rPr>
      <w:rFonts w:ascii="Times New Roman" w:hAnsi="Times New Roman" w:eastAsia="Times New Roman" w:cs="Times New Roman"/>
      <w:sz w:val="24"/>
      <w:szCs w:val="24"/>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74E9-258F-1844-9392-1D4CE2306762}">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660</Words>
  <Characters>3762</Characters>
  <Lines>31</Lines>
  <Paragraphs>8</Paragraphs>
  <TotalTime>0</TotalTime>
  <ScaleCrop>false</ScaleCrop>
  <LinksUpToDate>false</LinksUpToDate>
  <CharactersWithSpaces>4414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2024-03-31T04:38:00Z</dcterms:created>
  <dc:creator>张 斌</dc:creator>
  <cp:lastModifiedBy>朱赫</cp:lastModifiedBy>
  <cp:lastPrinted>2023-02-10T11:47:00Z</cp:lastPrinted>
  <dcterms:modified xsi:type="dcterms:W3CDTF">2024-04-17T00:48:50Z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