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Autospacing="0" w:afterAutospacing="0" w:line="640" w:lineRule="exact"/>
        <w:jc w:val="left"/>
        <w:rPr>
          <w:rFonts w:hint="default"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pPr>
      <w:bookmarkStart w:id="0" w:name="_Hlk162724550"/>
      <w:r>
        <w:rPr>
          <w:rFonts w:hint="default"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t>题目</w:t>
      </w:r>
      <w:r>
        <w:rPr>
          <w:rFonts w:hint="eastAsia"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t>30：</w:t>
      </w:r>
      <w:bookmarkStart w:id="1" w:name="_GoBack"/>
      <w:bookmarkEnd w:id="1"/>
    </w:p>
    <w:p>
      <w:pPr>
        <w:pStyle w:val="2"/>
        <w:spacing w:beforeAutospacing="0" w:afterAutospacing="0" w:line="640" w:lineRule="exact"/>
        <w:jc w:val="center"/>
        <w:rPr>
          <w:rFonts w:hint="default" w:ascii="Times New Roman" w:hAnsi="Times New Roman" w:eastAsia="方正大标宋_GBK"/>
          <w:b w:val="0"/>
          <w:bCs w:val="0"/>
          <w:color w:val="000000" w:themeColor="text1"/>
          <w:sz w:val="44"/>
          <w:szCs w:val="44"/>
          <w14:textFill>
            <w14:solidFill>
              <w14:schemeClr w14:val="tx1"/>
            </w14:solidFill>
          </w14:textFill>
        </w:rPr>
      </w:pPr>
      <w:r>
        <w:rPr>
          <w:rFonts w:hint="eastAsia" w:ascii="Times New Roman" w:hAnsi="Times New Roman" w:eastAsia="方正大标宋_GBK"/>
          <w:b w:val="0"/>
          <w:bCs w:val="0"/>
          <w:color w:val="000000" w:themeColor="text1"/>
          <w:sz w:val="44"/>
          <w:szCs w:val="44"/>
          <w:lang w:eastAsia="zh-CN"/>
          <w14:textFill>
            <w14:solidFill>
              <w14:schemeClr w14:val="tx1"/>
            </w14:solidFill>
          </w14:textFill>
        </w:rPr>
        <w:t>“</w:t>
      </w:r>
      <w:r>
        <w:rPr>
          <w:rFonts w:hint="default" w:ascii="Times New Roman" w:hAnsi="Times New Roman" w:eastAsia="方正大标宋_GBK"/>
          <w:b w:val="0"/>
          <w:bCs w:val="0"/>
          <w:color w:val="000000" w:themeColor="text1"/>
          <w:sz w:val="44"/>
          <w:szCs w:val="44"/>
          <w14:textFill>
            <w14:solidFill>
              <w14:schemeClr w14:val="tx1"/>
            </w14:solidFill>
          </w14:textFill>
        </w:rPr>
        <w:t>畜禽养殖中绿色低碳抗菌肽制剂开发与</w:t>
      </w:r>
    </w:p>
    <w:p>
      <w:pPr>
        <w:pStyle w:val="2"/>
        <w:spacing w:beforeAutospacing="0" w:afterAutospacing="0" w:line="640" w:lineRule="exact"/>
        <w:jc w:val="center"/>
        <w:rPr>
          <w:rFonts w:hint="default" w:ascii="Times New Roman" w:hAnsi="Times New Roman" w:eastAsia="方正大标宋_GBK"/>
          <w:b w:val="0"/>
          <w:bCs w:val="0"/>
          <w:color w:val="000000" w:themeColor="text1"/>
          <w:sz w:val="44"/>
          <w:szCs w:val="44"/>
          <w14:textFill>
            <w14:solidFill>
              <w14:schemeClr w14:val="tx1"/>
            </w14:solidFill>
          </w14:textFill>
        </w:rPr>
      </w:pPr>
      <w:r>
        <w:rPr>
          <w:rFonts w:hint="default" w:ascii="Times New Roman" w:hAnsi="Times New Roman" w:eastAsia="方正大标宋_GBK"/>
          <w:b w:val="0"/>
          <w:bCs w:val="0"/>
          <w:color w:val="000000" w:themeColor="text1"/>
          <w:sz w:val="44"/>
          <w:szCs w:val="44"/>
          <w14:textFill>
            <w14:solidFill>
              <w14:schemeClr w14:val="tx1"/>
            </w14:solidFill>
          </w14:textFill>
        </w:rPr>
        <w:t>应用</w:t>
      </w:r>
      <w:bookmarkEnd w:id="0"/>
      <w:r>
        <w:rPr>
          <w:rFonts w:hint="eastAsia" w:ascii="Times New Roman" w:hAnsi="Times New Roman" w:eastAsia="方正大标宋_GBK"/>
          <w:b w:val="0"/>
          <w:bCs w:val="0"/>
          <w:color w:val="000000" w:themeColor="text1"/>
          <w:sz w:val="44"/>
          <w:szCs w:val="44"/>
          <w:lang w:eastAsia="zh-CN"/>
          <w14:textFill>
            <w14:solidFill>
              <w14:schemeClr w14:val="tx1"/>
            </w14:solidFill>
          </w14:textFill>
        </w:rPr>
        <w:t>”</w:t>
      </w:r>
      <w:r>
        <w:rPr>
          <w:rFonts w:hint="default" w:ascii="Times New Roman" w:hAnsi="Times New Roman" w:eastAsia="方正大标宋_GBK"/>
          <w:b w:val="0"/>
          <w:bCs w:val="0"/>
          <w:color w:val="000000" w:themeColor="text1"/>
          <w:sz w:val="44"/>
          <w:szCs w:val="44"/>
          <w14:textFill>
            <w14:solidFill>
              <w14:schemeClr w14:val="tx1"/>
            </w14:solidFill>
          </w14:textFill>
        </w:rPr>
        <w:t>比赛方案</w:t>
      </w:r>
    </w:p>
    <w:p>
      <w:pPr>
        <w:jc w:val="center"/>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b w:val="0"/>
          <w:bCs w:val="0"/>
          <w:color w:val="000000" w:themeColor="text1"/>
          <w:sz w:val="32"/>
          <w:szCs w:val="32"/>
          <w:lang w:eastAsia="zh-CN"/>
          <w14:textFill>
            <w14:solidFill>
              <w14:schemeClr w14:val="tx1"/>
            </w14:solidFill>
          </w14:textFill>
        </w:rPr>
        <w:t>（</w:t>
      </w:r>
      <w:r>
        <w:rPr>
          <w:rFonts w:hint="eastAsia" w:ascii="方正楷体_GBK" w:hAnsi="方正楷体_GBK" w:eastAsia="方正楷体_GBK" w:cs="方正楷体_GBK"/>
          <w:b w:val="0"/>
          <w:bCs w:val="0"/>
          <w:color w:val="000000" w:themeColor="text1"/>
          <w:sz w:val="32"/>
          <w:szCs w:val="32"/>
          <w:lang w:val="en-US" w:eastAsia="zh-CN"/>
          <w14:textFill>
            <w14:solidFill>
              <w14:schemeClr w14:val="tx1"/>
            </w14:solidFill>
          </w14:textFill>
        </w:rPr>
        <w:t>青岛动保国家工程技术研究中心有限公司</w:t>
      </w:r>
      <w:r>
        <w:rPr>
          <w:rFonts w:hint="eastAsia" w:ascii="方正楷体_GBK" w:hAnsi="方正楷体_GBK" w:eastAsia="方正楷体_GBK" w:cs="方正楷体_GBK"/>
          <w:b w:val="0"/>
          <w:bCs w:val="0"/>
          <w:color w:val="000000" w:themeColor="text1"/>
          <w:sz w:val="32"/>
          <w:szCs w:val="32"/>
          <w:lang w:eastAsia="zh-CN"/>
          <w14:textFill>
            <w14:solidFill>
              <w14:schemeClr w14:val="tx1"/>
            </w14:solidFill>
          </w14:textFill>
        </w:rPr>
        <w:t>）</w:t>
      </w:r>
    </w:p>
    <w:p>
      <w:pPr>
        <w:rPr>
          <w:rFonts w:hint="default"/>
        </w:rPr>
      </w:pPr>
    </w:p>
    <w:p>
      <w:pPr>
        <w:pStyle w:val="3"/>
        <w:pageBreakBefore w:val="0"/>
        <w:kinsoku/>
        <w:wordWrap/>
        <w:overflowPunct/>
        <w:topLinePunct w:val="0"/>
        <w:autoSpaceDE/>
        <w:autoSpaceDN/>
        <w:bidi w:val="0"/>
        <w:adjustRightInd/>
        <w:snapToGrid/>
        <w:ind w:left="0" w:leftChars="0" w:firstLine="640" w:firstLineChars="200"/>
        <w:jc w:val="both"/>
        <w:textAlignment w:val="auto"/>
        <w:rPr>
          <w:rFonts w:ascii="Times New Roman" w:hAnsi="Times New Roman" w:eastAsia="方正黑体_GBK"/>
          <w:color w:val="000000" w:themeColor="text1"/>
          <w:spacing w:val="0"/>
          <w:lang w:val="en-US"/>
          <w14:textFill>
            <w14:solidFill>
              <w14:schemeClr w14:val="tx1"/>
            </w14:solidFill>
          </w14:textFill>
        </w:rPr>
      </w:pPr>
      <w:r>
        <w:rPr>
          <w:rFonts w:ascii="Times New Roman" w:hAnsi="Times New Roman" w:eastAsia="方正黑体_GBK"/>
          <w:color w:val="000000" w:themeColor="text1"/>
          <w:spacing w:val="0"/>
          <w:lang w:val="en-US"/>
          <w14:textFill>
            <w14:solidFill>
              <w14:schemeClr w14:val="tx1"/>
            </w14:solidFill>
          </w14:textFill>
        </w:rPr>
        <w:t>组织单位</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eastAsia="方正仿宋_GBK"/>
          <w:color w:val="000000" w:themeColor="text1"/>
          <w:spacing w:val="0"/>
          <w:sz w:val="32"/>
          <w:szCs w:val="32"/>
          <w:lang w:val="en-US" w:eastAsia="zh-CN"/>
          <w14:textFill>
            <w14:solidFill>
              <w14:schemeClr w14:val="tx1"/>
            </w14:solidFill>
          </w14:textFill>
        </w:rPr>
      </w:pPr>
      <w:r>
        <w:rPr>
          <w:rFonts w:hint="eastAsia" w:eastAsia="方正仿宋_GBK"/>
          <w:color w:val="000000" w:themeColor="text1"/>
          <w:spacing w:val="0"/>
          <w:sz w:val="32"/>
          <w:szCs w:val="32"/>
          <w:lang w:val="en-US"/>
          <w14:textFill>
            <w14:solidFill>
              <w14:schemeClr w14:val="tx1"/>
            </w14:solidFill>
          </w14:textFill>
        </w:rPr>
        <w:t>青岛动保国家工程技术研究中心有限公司</w:t>
      </w:r>
    </w:p>
    <w:p>
      <w:pPr>
        <w:pStyle w:val="3"/>
        <w:pageBreakBefore w:val="0"/>
        <w:kinsoku/>
        <w:wordWrap/>
        <w:overflowPunct/>
        <w:topLinePunct w:val="0"/>
        <w:autoSpaceDE/>
        <w:autoSpaceDN/>
        <w:bidi w:val="0"/>
        <w:adjustRightInd/>
        <w:snapToGrid/>
        <w:ind w:left="0" w:leftChars="0" w:firstLine="640" w:firstLineChars="200"/>
        <w:jc w:val="both"/>
        <w:textAlignment w:val="auto"/>
        <w:rPr>
          <w:rFonts w:ascii="Times New Roman" w:hAnsi="Times New Roman" w:eastAsia="方正黑体_GBK"/>
          <w:color w:val="000000" w:themeColor="text1"/>
          <w:spacing w:val="0"/>
          <w:lang w:val="en-US"/>
          <w14:textFill>
            <w14:solidFill>
              <w14:schemeClr w14:val="tx1"/>
            </w14:solidFill>
          </w14:textFill>
        </w:rPr>
      </w:pPr>
      <w:r>
        <w:rPr>
          <w:rFonts w:ascii="Times New Roman" w:hAnsi="Times New Roman" w:eastAsia="方正黑体_GBK"/>
          <w:color w:val="000000" w:themeColor="text1"/>
          <w:spacing w:val="0"/>
          <w:lang w:val="en-US"/>
          <w14:textFill>
            <w14:solidFill>
              <w14:schemeClr w14:val="tx1"/>
            </w14:solidFill>
          </w14:textFill>
        </w:rPr>
        <w:t>题目名称</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畜禽养殖中绿色低碳抗菌肽制剂开发与应用</w:t>
      </w:r>
    </w:p>
    <w:p>
      <w:pPr>
        <w:pStyle w:val="3"/>
        <w:pageBreakBefore w:val="0"/>
        <w:kinsoku/>
        <w:wordWrap/>
        <w:overflowPunct/>
        <w:topLinePunct w:val="0"/>
        <w:autoSpaceDE/>
        <w:autoSpaceDN/>
        <w:bidi w:val="0"/>
        <w:adjustRightInd/>
        <w:snapToGrid/>
        <w:ind w:left="0" w:leftChars="0" w:firstLine="640" w:firstLineChars="200"/>
        <w:jc w:val="both"/>
        <w:textAlignment w:val="auto"/>
        <w:rPr>
          <w:rFonts w:ascii="Times New Roman" w:hAnsi="Times New Roman" w:eastAsia="方正黑体_GBK"/>
          <w:color w:val="000000" w:themeColor="text1"/>
          <w:spacing w:val="0"/>
          <w:lang w:val="en-US"/>
          <w14:textFill>
            <w14:solidFill>
              <w14:schemeClr w14:val="tx1"/>
            </w14:solidFill>
          </w14:textFill>
        </w:rPr>
      </w:pPr>
      <w:r>
        <w:rPr>
          <w:rFonts w:ascii="Times New Roman" w:hAnsi="Times New Roman" w:eastAsia="方正黑体_GBK"/>
          <w:color w:val="000000" w:themeColor="text1"/>
          <w:spacing w:val="0"/>
          <w:lang w:val="en-US"/>
          <w14:textFill>
            <w14:solidFill>
              <w14:schemeClr w14:val="tx1"/>
            </w14:solidFill>
          </w14:textFill>
        </w:rPr>
        <w:t>题目介绍</w:t>
      </w:r>
    </w:p>
    <w:p>
      <w:pPr>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细菌病的防治是长期以来困扰人类的难题，特别是随着青霉素等传统抗生素的长期广泛应用，许多细菌都产生了明显的耐药性。因此，开发全新的抗菌药物已迫在眉睫。抗菌肽是动物因微生物因子等入侵而产生的一类免疫应答产物，是动物免疫防御系统的一个重要的组成部分，具有广谱抗菌、无耐药性等优点。随着我国抗生素使用规范日益严格，对抗生素替代品的需求尤为迫切。本次赛题旨在促使参赛者深入研究并创新现代畜禽抗菌肽及其生物制剂开发技术与应用。</w:t>
      </w:r>
    </w:p>
    <w:p>
      <w:pPr>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评分将综合考虑参赛作品的创新性、可行性、环保效益、疗效以及实际应用潜力。通过本次比赛，旨在鼓励高校学生团队积极参与科技创新，推动抗菌肽及其生物制剂在畜禽养殖中的应用，为我国畜牧业的“替抗”发展贡献新的思路和解决方案。</w:t>
      </w:r>
    </w:p>
    <w:p>
      <w:pPr>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注意事项：</w:t>
      </w:r>
    </w:p>
    <w:p>
      <w:pPr>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1. 参赛者需围绕抗菌肽与其生物制剂开发，及其在畜牧业中的应用展开深入研究，注重实际应用可行性；</w:t>
      </w:r>
    </w:p>
    <w:p>
      <w:pPr>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2. 鼓励跨学科合作，整合化学、材料、生态学等多领域的专业知识；</w:t>
      </w:r>
    </w:p>
    <w:p>
      <w:pPr>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方正黑体_GBK"/>
          <w:color w:val="000000" w:themeColor="text1"/>
          <w:spacing w:val="0"/>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3. 作品提交时，需提供详细的技术方案、应用场景描述和潜在市场影响分析。</w:t>
      </w:r>
    </w:p>
    <w:p>
      <w:pPr>
        <w:pStyle w:val="3"/>
        <w:pageBreakBefore w:val="0"/>
        <w:kinsoku/>
        <w:wordWrap/>
        <w:overflowPunct/>
        <w:topLinePunct w:val="0"/>
        <w:autoSpaceDE/>
        <w:autoSpaceDN/>
        <w:bidi w:val="0"/>
        <w:adjustRightInd/>
        <w:snapToGrid/>
        <w:ind w:left="0" w:leftChars="0" w:firstLine="640" w:firstLineChars="200"/>
        <w:jc w:val="both"/>
        <w:textAlignment w:val="auto"/>
        <w:rPr>
          <w:rFonts w:ascii="Times New Roman" w:hAnsi="Times New Roman" w:eastAsia="方正黑体_GBK"/>
          <w:color w:val="000000" w:themeColor="text1"/>
          <w:spacing w:val="0"/>
          <w:lang w:val="en-US"/>
          <w14:textFill>
            <w14:solidFill>
              <w14:schemeClr w14:val="tx1"/>
            </w14:solidFill>
          </w14:textFill>
        </w:rPr>
      </w:pPr>
      <w:r>
        <w:rPr>
          <w:rFonts w:ascii="Times New Roman" w:hAnsi="Times New Roman" w:eastAsia="方正黑体_GBK"/>
          <w:color w:val="000000" w:themeColor="text1"/>
          <w:spacing w:val="0"/>
          <w:lang w:val="en-US"/>
          <w14:textFill>
            <w14:solidFill>
              <w14:schemeClr w14:val="tx1"/>
            </w14:solidFill>
          </w14:textFill>
        </w:rPr>
        <w:t>参赛对象</w:t>
      </w:r>
    </w:p>
    <w:p>
      <w:pPr>
        <w:pStyle w:val="8"/>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ascii="Times New Roman" w:hAnsi="Times New Roman" w:eastAsia="方正仿宋_GBK" w:cs="Times New Roman"/>
          <w:spacing w:val="0"/>
          <w:sz w:val="32"/>
          <w:szCs w:val="32"/>
        </w:rPr>
      </w:pPr>
      <w:r>
        <w:rPr>
          <w:rFonts w:ascii="Times New Roman" w:hAnsi="Times New Roman" w:eastAsia="方正仿宋_GBK" w:cs="Times New Roman"/>
          <w:spacing w:val="0"/>
          <w:sz w:val="32"/>
          <w:szCs w:val="32"/>
        </w:rPr>
        <w:t>2024年6月1日以前正式注册的全日制非成人教育的各类高等院校在校专科生、本科生、硕士研究生（不含在职研究生）均可申报作品参赛，以个人或团队形式参赛均可，每个团队不超过10人（含作品申报者），每件作品可由不超过3名教师指导完成。可以跨专业、跨校、跨地域组队。</w:t>
      </w:r>
    </w:p>
    <w:p>
      <w:pPr>
        <w:pStyle w:val="8"/>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ascii="Times New Roman" w:hAnsi="Times New Roman" w:eastAsia="方正仿宋_GBK" w:cs="Times New Roman"/>
          <w:spacing w:val="0"/>
          <w:sz w:val="32"/>
          <w:szCs w:val="32"/>
        </w:rPr>
      </w:pPr>
      <w:r>
        <w:rPr>
          <w:rFonts w:ascii="Times New Roman" w:hAnsi="Times New Roman" w:eastAsia="方正仿宋_GBK" w:cs="Times New Roman"/>
          <w:spacing w:val="0"/>
          <w:sz w:val="32"/>
          <w:szCs w:val="32"/>
        </w:rPr>
        <w:t>本校硕博连读生（直博生）若在2024年6月1日以前未通过博士资格考试的，可以按研究生学历申报作品。没有实行资格考试制度的学校，前两年可以按硕士学历申报作品。本硕博连读生，按照四年、两年分别对应本、硕申报，后续则不可申报。</w:t>
      </w:r>
    </w:p>
    <w:p>
      <w:pPr>
        <w:pStyle w:val="8"/>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ascii="Times New Roman" w:hAnsi="Times New Roman" w:eastAsia="方正仿宋_GBK" w:cs="Times New Roman"/>
          <w:spacing w:val="0"/>
          <w:sz w:val="32"/>
          <w:szCs w:val="32"/>
        </w:rPr>
      </w:pPr>
      <w:r>
        <w:rPr>
          <w:rFonts w:ascii="Times New Roman" w:hAnsi="Times New Roman" w:eastAsia="方正仿宋_GBK" w:cs="Times New Roman"/>
          <w:spacing w:val="0"/>
          <w:sz w:val="32"/>
          <w:szCs w:val="32"/>
        </w:rPr>
        <w:t>毕业设计和课程设计（论文）、学年论文和学位论文、国际竞赛中获奖的作品、获国家级奖励成果（含本竞赛主办单位参与举办的其他全国性竞赛的获奖作品）等均不在申报范围之列。</w:t>
      </w:r>
    </w:p>
    <w:p>
      <w:pPr>
        <w:pStyle w:val="8"/>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ascii="Times New Roman" w:hAnsi="Times New Roman" w:eastAsia="方正仿宋_GBK" w:cs="Times New Roman"/>
          <w:b/>
          <w:bCs/>
          <w:spacing w:val="0"/>
          <w:sz w:val="32"/>
          <w:szCs w:val="32"/>
        </w:rPr>
      </w:pPr>
      <w:r>
        <w:rPr>
          <w:rStyle w:val="12"/>
          <w:rFonts w:ascii="Times New Roman" w:hAnsi="Times New Roman" w:eastAsia="方正仿宋_GBK" w:cs="Times New Roman"/>
          <w:b w:val="0"/>
          <w:bCs w:val="0"/>
          <w:spacing w:val="0"/>
          <w:sz w:val="32"/>
          <w:szCs w:val="32"/>
        </w:rPr>
        <w:t>每件作品仅可由1所高校推报，高校在推报前要对参赛团队成员及作品进行相关资格审查。</w:t>
      </w:r>
    </w:p>
    <w:p>
      <w:pPr>
        <w:pStyle w:val="8"/>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ascii="Times New Roman" w:hAnsi="Times New Roman" w:eastAsia="方正仿宋_GBK" w:cs="Times New Roman"/>
          <w:b/>
          <w:bCs/>
          <w:spacing w:val="0"/>
          <w:sz w:val="32"/>
          <w:szCs w:val="32"/>
        </w:rPr>
      </w:pPr>
      <w:r>
        <w:rPr>
          <w:rStyle w:val="12"/>
          <w:rFonts w:ascii="Times New Roman" w:hAnsi="Times New Roman" w:eastAsia="方正仿宋_GBK" w:cs="Times New Roman"/>
          <w:b w:val="0"/>
          <w:bCs w:val="0"/>
          <w:spacing w:val="0"/>
          <w:sz w:val="32"/>
          <w:szCs w:val="32"/>
        </w:rPr>
        <w:t>每所学校选送参加专项赛的作品数量不设限制，但同一作品不得同时参加第十九届“挑战杯”全国大学生课外学术科技作品竞赛主体赛事自然科学类学术论文、哲学社会科学类调查报告、科技发明制作作品评比。</w:t>
      </w:r>
    </w:p>
    <w:p>
      <w:pPr>
        <w:pStyle w:val="3"/>
        <w:pageBreakBefore w:val="0"/>
        <w:kinsoku/>
        <w:wordWrap/>
        <w:overflowPunct/>
        <w:topLinePunct w:val="0"/>
        <w:autoSpaceDE/>
        <w:autoSpaceDN/>
        <w:bidi w:val="0"/>
        <w:adjustRightInd/>
        <w:snapToGrid/>
        <w:ind w:left="0" w:leftChars="0" w:firstLine="640" w:firstLineChars="200"/>
        <w:jc w:val="both"/>
        <w:textAlignment w:val="auto"/>
        <w:rPr>
          <w:rFonts w:ascii="Times New Roman" w:hAnsi="Times New Roman" w:eastAsia="方正黑体_GBK"/>
          <w:color w:val="000000" w:themeColor="text1"/>
          <w:spacing w:val="0"/>
          <w:lang w:val="en-US"/>
          <w14:textFill>
            <w14:solidFill>
              <w14:schemeClr w14:val="tx1"/>
            </w14:solidFill>
          </w14:textFill>
        </w:rPr>
      </w:pPr>
      <w:r>
        <w:rPr>
          <w:rFonts w:ascii="Times New Roman" w:hAnsi="Times New Roman" w:eastAsia="方正黑体_GBK"/>
          <w:color w:val="000000" w:themeColor="text1"/>
          <w:spacing w:val="0"/>
          <w:lang w:val="en-US"/>
          <w14:textFill>
            <w14:solidFill>
              <w14:schemeClr w14:val="tx1"/>
            </w14:solidFill>
          </w14:textFill>
        </w:rPr>
        <w:t>答题要求</w:t>
      </w:r>
    </w:p>
    <w:p>
      <w:pPr>
        <w:pageBreakBefore w:val="0"/>
        <w:numPr>
          <w:ilvl w:val="255"/>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根据选题情况作品主要涵盖以下要求：</w:t>
      </w:r>
    </w:p>
    <w:p>
      <w:pPr>
        <w:pageBreakBefore w:val="0"/>
        <w:numPr>
          <w:ilvl w:val="0"/>
          <w:numId w:val="3"/>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参赛者需要聚焦抗菌肽及其生物制剂在畜禽养殖中细菌感染、防控治疗等问题，鼓励跨学科合作，形成新型畜禽用抗菌肽制剂的设计方案和思路；</w:t>
      </w:r>
    </w:p>
    <w:p>
      <w:pPr>
        <w:pageBreakBefore w:val="0"/>
        <w:numPr>
          <w:ilvl w:val="0"/>
          <w:numId w:val="3"/>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提交新型畜禽用抗菌肽制剂完整的技术方案，包括技术重点、技术实现流程、技术研究基础；</w:t>
      </w:r>
    </w:p>
    <w:p>
      <w:pPr>
        <w:pageBreakBefore w:val="0"/>
        <w:numPr>
          <w:ilvl w:val="0"/>
          <w:numId w:val="3"/>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方案应具备可行性和实用性，且产品应具有实际使用效果，能切实针对畜禽病原菌感染问题并达到/接近抗生素作用效果，同时提供效果证明；</w:t>
      </w:r>
    </w:p>
    <w:p>
      <w:pPr>
        <w:pageBreakBefore w:val="0"/>
        <w:numPr>
          <w:ilvl w:val="0"/>
          <w:numId w:val="3"/>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根据大赛整体时间安排并结合科研攻关的科学规律，8月1</w:t>
      </w:r>
      <w:r>
        <w:rPr>
          <w:rFonts w:hint="eastAsia" w:eastAsia="方正仿宋_GBK"/>
          <w:color w:val="000000" w:themeColor="text1"/>
          <w:spacing w:val="0"/>
          <w:sz w:val="32"/>
          <w:szCs w:val="32"/>
          <w:lang w:val="en-US"/>
          <w14:textFill>
            <w14:solidFill>
              <w14:schemeClr w14:val="tx1"/>
            </w14:solidFill>
          </w14:textFill>
        </w:rPr>
        <w:t>0</w:t>
      </w:r>
      <w:r>
        <w:rPr>
          <w:rFonts w:eastAsia="方正仿宋_GBK"/>
          <w:color w:val="000000" w:themeColor="text1"/>
          <w:spacing w:val="0"/>
          <w:sz w:val="32"/>
          <w:szCs w:val="32"/>
          <w:lang w:val="en-US"/>
          <w14:textFill>
            <w14:solidFill>
              <w14:schemeClr w14:val="tx1"/>
            </w14:solidFill>
          </w14:textFill>
        </w:rPr>
        <w:t>日前，各参赛团队提交作品；</w:t>
      </w:r>
    </w:p>
    <w:p>
      <w:pPr>
        <w:pageBreakBefore w:val="0"/>
        <w:numPr>
          <w:ilvl w:val="0"/>
          <w:numId w:val="3"/>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参赛者需以PPT的形式呈现作品，且总页数不超过30页，作品中提及的相关成果必须提供相应的证明材料，证明材料需以PDF格式提交，可与附件打包压缩。其他作品形式不做要求。</w:t>
      </w:r>
    </w:p>
    <w:p>
      <w:pPr>
        <w:pStyle w:val="3"/>
        <w:pageBreakBefore w:val="0"/>
        <w:kinsoku/>
        <w:wordWrap/>
        <w:overflowPunct/>
        <w:topLinePunct w:val="0"/>
        <w:autoSpaceDE/>
        <w:autoSpaceDN/>
        <w:bidi w:val="0"/>
        <w:adjustRightInd/>
        <w:snapToGrid/>
        <w:ind w:left="0" w:leftChars="0" w:firstLine="640" w:firstLineChars="200"/>
        <w:jc w:val="both"/>
        <w:textAlignment w:val="auto"/>
        <w:rPr>
          <w:rFonts w:ascii="Times New Roman" w:hAnsi="Times New Roman" w:eastAsia="方正黑体_GBK"/>
          <w:color w:val="000000" w:themeColor="text1"/>
          <w:spacing w:val="0"/>
          <w:lang w:val="en-US"/>
          <w14:textFill>
            <w14:solidFill>
              <w14:schemeClr w14:val="tx1"/>
            </w14:solidFill>
          </w14:textFill>
        </w:rPr>
      </w:pPr>
      <w:r>
        <w:rPr>
          <w:rFonts w:ascii="Times New Roman" w:hAnsi="Times New Roman" w:eastAsia="方正黑体_GBK"/>
          <w:color w:val="000000" w:themeColor="text1"/>
          <w:spacing w:val="0"/>
          <w:lang w:val="en-US"/>
          <w14:textFill>
            <w14:solidFill>
              <w14:schemeClr w14:val="tx1"/>
            </w14:solidFill>
          </w14:textFill>
        </w:rPr>
        <w:t>作品评选标准</w:t>
      </w:r>
    </w:p>
    <w:p>
      <w:pPr>
        <w:pStyle w:val="4"/>
        <w:pageBreakBefore w:val="0"/>
        <w:kinsoku/>
        <w:wordWrap/>
        <w:overflowPunct/>
        <w:topLinePunct w:val="0"/>
        <w:autoSpaceDE/>
        <w:autoSpaceDN/>
        <w:bidi w:val="0"/>
        <w:adjustRightInd/>
        <w:snapToGrid/>
        <w:ind w:left="0" w:leftChars="0" w:firstLine="640" w:firstLineChars="200"/>
        <w:textAlignment w:val="auto"/>
        <w:rPr>
          <w:rFonts w:ascii="Times New Roman" w:hAnsi="Times New Roman" w:eastAsia="方正楷体_GBK"/>
          <w:color w:val="000000" w:themeColor="text1"/>
          <w:spacing w:val="0"/>
          <w:lang w:val="en-US"/>
          <w14:textFill>
            <w14:solidFill>
              <w14:schemeClr w14:val="tx1"/>
            </w14:solidFill>
          </w14:textFill>
        </w:rPr>
      </w:pPr>
      <w:r>
        <w:rPr>
          <w:rFonts w:ascii="Times New Roman" w:hAnsi="Times New Roman" w:eastAsia="方正楷体_GBK"/>
          <w:color w:val="000000" w:themeColor="text1"/>
          <w:spacing w:val="0"/>
          <w:lang w:val="en-US"/>
          <w14:textFill>
            <w14:solidFill>
              <w14:schemeClr w14:val="tx1"/>
            </w14:solidFill>
          </w14:textFill>
        </w:rPr>
        <w:t>基本要求</w:t>
      </w:r>
    </w:p>
    <w:p>
      <w:pPr>
        <w:pageBreakBefore w:val="0"/>
        <w:numPr>
          <w:ilvl w:val="0"/>
          <w:numId w:val="4"/>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发展现状调研清晰，研究思路合理，技术路线可行；</w:t>
      </w:r>
    </w:p>
    <w:p>
      <w:pPr>
        <w:pageBreakBefore w:val="0"/>
        <w:numPr>
          <w:ilvl w:val="0"/>
          <w:numId w:val="4"/>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作品具有完整性，符合答题要求；</w:t>
      </w:r>
    </w:p>
    <w:p>
      <w:pPr>
        <w:pageBreakBefore w:val="0"/>
        <w:numPr>
          <w:ilvl w:val="0"/>
          <w:numId w:val="4"/>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附件、PPT等展示材料内容齐全、页面美观、图标清晰、公式准确；</w:t>
      </w:r>
    </w:p>
    <w:p>
      <w:pPr>
        <w:pageBreakBefore w:val="0"/>
        <w:numPr>
          <w:ilvl w:val="0"/>
          <w:numId w:val="4"/>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请确保提交的作品是团队独立完成的原创作品，如有抄袭或违规行为，将取消参赛资格。</w:t>
      </w:r>
    </w:p>
    <w:p>
      <w:pPr>
        <w:pStyle w:val="4"/>
        <w:pageBreakBefore w:val="0"/>
        <w:kinsoku/>
        <w:wordWrap/>
        <w:overflowPunct/>
        <w:topLinePunct w:val="0"/>
        <w:autoSpaceDE/>
        <w:autoSpaceDN/>
        <w:bidi w:val="0"/>
        <w:adjustRightInd/>
        <w:snapToGrid/>
        <w:ind w:left="0" w:leftChars="0" w:firstLine="640" w:firstLineChars="200"/>
        <w:textAlignment w:val="auto"/>
        <w:rPr>
          <w:rFonts w:ascii="Times New Roman" w:hAnsi="Times New Roman" w:eastAsia="方正楷体_GBK"/>
          <w:color w:val="000000" w:themeColor="text1"/>
          <w:spacing w:val="0"/>
          <w:lang w:val="en-US"/>
          <w14:textFill>
            <w14:solidFill>
              <w14:schemeClr w14:val="tx1"/>
            </w14:solidFill>
          </w14:textFill>
        </w:rPr>
      </w:pPr>
      <w:r>
        <w:rPr>
          <w:rFonts w:ascii="Times New Roman" w:hAnsi="Times New Roman" w:eastAsia="方正楷体_GBK"/>
          <w:color w:val="000000" w:themeColor="text1"/>
          <w:spacing w:val="0"/>
          <w:lang w:val="en-US"/>
          <w14:textFill>
            <w14:solidFill>
              <w14:schemeClr w14:val="tx1"/>
            </w14:solidFill>
          </w14:textFill>
        </w:rPr>
        <w:t>优选要求</w:t>
      </w:r>
    </w:p>
    <w:p>
      <w:pPr>
        <w:pageBreakBefore w:val="0"/>
        <w:numPr>
          <w:ilvl w:val="0"/>
          <w:numId w:val="5"/>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能切实针对畜禽</w:t>
      </w:r>
      <w:r>
        <w:rPr>
          <w:rFonts w:hint="eastAsia" w:eastAsia="方正仿宋_GBK"/>
          <w:color w:val="000000" w:themeColor="text1"/>
          <w:spacing w:val="0"/>
          <w:sz w:val="32"/>
          <w:szCs w:val="32"/>
          <w:lang w:val="en-US"/>
          <w14:textFill>
            <w14:solidFill>
              <w14:schemeClr w14:val="tx1"/>
            </w14:solidFill>
          </w14:textFill>
        </w:rPr>
        <w:t>具体</w:t>
      </w:r>
      <w:r>
        <w:rPr>
          <w:rFonts w:eastAsia="方正仿宋_GBK"/>
          <w:color w:val="000000" w:themeColor="text1"/>
          <w:spacing w:val="0"/>
          <w:sz w:val="32"/>
          <w:szCs w:val="32"/>
          <w:lang w:val="en-US"/>
          <w14:textFill>
            <w14:solidFill>
              <w14:schemeClr w14:val="tx1"/>
            </w14:solidFill>
          </w14:textFill>
        </w:rPr>
        <w:t>病原菌</w:t>
      </w:r>
      <w:r>
        <w:rPr>
          <w:rFonts w:hint="eastAsia" w:eastAsia="方正仿宋_GBK"/>
          <w:color w:val="000000" w:themeColor="text1"/>
          <w:spacing w:val="0"/>
          <w:sz w:val="32"/>
          <w:szCs w:val="32"/>
          <w:lang w:val="en-US"/>
          <w14:textFill>
            <w14:solidFill>
              <w14:schemeClr w14:val="tx1"/>
            </w14:solidFill>
          </w14:textFill>
        </w:rPr>
        <w:t>开发新型抗菌肽产品，且产品具有实际防治效果</w:t>
      </w:r>
      <w:r>
        <w:rPr>
          <w:rFonts w:eastAsia="方正仿宋_GBK"/>
          <w:color w:val="000000" w:themeColor="text1"/>
          <w:spacing w:val="0"/>
          <w:sz w:val="32"/>
          <w:szCs w:val="32"/>
          <w:lang w:val="en-US"/>
          <w14:textFill>
            <w14:solidFill>
              <w14:schemeClr w14:val="tx1"/>
            </w14:solidFill>
          </w14:textFill>
        </w:rPr>
        <w:t>；</w:t>
      </w:r>
    </w:p>
    <w:p>
      <w:pPr>
        <w:pageBreakBefore w:val="0"/>
        <w:numPr>
          <w:ilvl w:val="0"/>
          <w:numId w:val="5"/>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能跨学科合作，整合化学、材料、生态学等多领域的专业知识；</w:t>
      </w:r>
    </w:p>
    <w:p>
      <w:pPr>
        <w:pageBreakBefore w:val="0"/>
        <w:numPr>
          <w:ilvl w:val="0"/>
          <w:numId w:val="5"/>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hint="eastAsia" w:eastAsia="方正仿宋_GBK"/>
          <w:color w:val="000000" w:themeColor="text1"/>
          <w:spacing w:val="0"/>
          <w:sz w:val="32"/>
          <w:szCs w:val="32"/>
          <w:lang w:val="en-US"/>
          <w14:textFill>
            <w14:solidFill>
              <w14:schemeClr w14:val="tx1"/>
            </w14:solidFill>
          </w14:textFill>
        </w:rPr>
        <w:t>能有效解决抗菌肽在畜禽应用中不稳定、刺激性等限制性问题，提供相关的解决方案；</w:t>
      </w:r>
    </w:p>
    <w:p>
      <w:pPr>
        <w:pageBreakBefore w:val="0"/>
        <w:numPr>
          <w:ilvl w:val="0"/>
          <w:numId w:val="5"/>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具有真实的应用数据并产生实际应用效果；</w:t>
      </w:r>
    </w:p>
    <w:p>
      <w:pPr>
        <w:pageBreakBefore w:val="0"/>
        <w:numPr>
          <w:ilvl w:val="0"/>
          <w:numId w:val="5"/>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具有项目相关成果证明（文章、专利、软著等）；</w:t>
      </w:r>
    </w:p>
    <w:p>
      <w:pPr>
        <w:pageBreakBefore w:val="0"/>
        <w:numPr>
          <w:ilvl w:val="0"/>
          <w:numId w:val="5"/>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研究成果有望投入实践应用。</w:t>
      </w:r>
    </w:p>
    <w:p>
      <w:pPr>
        <w:pStyle w:val="3"/>
        <w:pageBreakBefore w:val="0"/>
        <w:kinsoku/>
        <w:wordWrap/>
        <w:overflowPunct/>
        <w:topLinePunct w:val="0"/>
        <w:autoSpaceDE/>
        <w:autoSpaceDN/>
        <w:bidi w:val="0"/>
        <w:adjustRightInd/>
        <w:snapToGrid/>
        <w:ind w:left="0" w:leftChars="0" w:firstLine="640" w:firstLineChars="200"/>
        <w:jc w:val="both"/>
        <w:textAlignment w:val="auto"/>
        <w:rPr>
          <w:rFonts w:ascii="Times New Roman" w:hAnsi="Times New Roman" w:eastAsia="方正黑体_GBK"/>
          <w:color w:val="000000" w:themeColor="text1"/>
          <w:spacing w:val="0"/>
          <w:lang w:val="en-US"/>
          <w14:textFill>
            <w14:solidFill>
              <w14:schemeClr w14:val="tx1"/>
            </w14:solidFill>
          </w14:textFill>
        </w:rPr>
      </w:pPr>
      <w:r>
        <w:rPr>
          <w:rFonts w:ascii="Times New Roman" w:hAnsi="Times New Roman" w:eastAsia="方正黑体_GBK"/>
          <w:color w:val="000000" w:themeColor="text1"/>
          <w:spacing w:val="0"/>
          <w:lang w:val="en-US"/>
          <w14:textFill>
            <w14:solidFill>
              <w14:schemeClr w14:val="tx1"/>
            </w14:solidFill>
          </w14:textFill>
        </w:rPr>
        <w:t>作品提交时间</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2024年</w:t>
      </w:r>
      <w:r>
        <w:rPr>
          <w:rFonts w:hint="eastAsia" w:eastAsia="方正仿宋_GBK"/>
          <w:color w:val="000000" w:themeColor="text1"/>
          <w:spacing w:val="0"/>
          <w:sz w:val="32"/>
          <w:szCs w:val="32"/>
          <w:lang w:val="en-US" w:eastAsia="zh-CN"/>
          <w14:textFill>
            <w14:solidFill>
              <w14:schemeClr w14:val="tx1"/>
            </w14:solidFill>
          </w14:textFill>
        </w:rPr>
        <w:t>4</w:t>
      </w:r>
      <w:r>
        <w:rPr>
          <w:rFonts w:eastAsia="方正仿宋_GBK"/>
          <w:color w:val="000000" w:themeColor="text1"/>
          <w:spacing w:val="0"/>
          <w:sz w:val="32"/>
          <w:szCs w:val="32"/>
          <w:lang w:val="en-US"/>
          <w14:textFill>
            <w14:solidFill>
              <w14:schemeClr w14:val="tx1"/>
            </w14:solidFill>
          </w14:textFill>
        </w:rPr>
        <w:t>月-8月，各参赛团队选择榜单中的题目开展研发攻关，各高校“挑战杯”竞赛组织协调机构要积极组织学生参赛，安排有关老师给予指导，为参赛团队提供支持保障；</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8月</w:t>
      </w:r>
      <w:r>
        <w:rPr>
          <w:rFonts w:hint="eastAsia" w:eastAsia="方正仿宋_GBK"/>
          <w:color w:val="000000" w:themeColor="text1"/>
          <w:spacing w:val="0"/>
          <w:sz w:val="32"/>
          <w:szCs w:val="32"/>
          <w:lang w:val="en-US"/>
          <w14:textFill>
            <w14:solidFill>
              <w14:schemeClr w14:val="tx1"/>
            </w14:solidFill>
          </w14:textFill>
        </w:rPr>
        <w:t>5</w:t>
      </w:r>
      <w:r>
        <w:rPr>
          <w:rFonts w:eastAsia="方正仿宋_GBK"/>
          <w:color w:val="000000" w:themeColor="text1"/>
          <w:spacing w:val="0"/>
          <w:sz w:val="32"/>
          <w:szCs w:val="32"/>
          <w:lang w:val="en-US"/>
          <w14:textFill>
            <w14:solidFill>
              <w14:schemeClr w14:val="tx1"/>
            </w14:solidFill>
          </w14:textFill>
        </w:rPr>
        <w:t>日前，各参赛团队向组委会提交作品，具体提交要求详见作品提交方式。</w:t>
      </w:r>
    </w:p>
    <w:p>
      <w:pPr>
        <w:pStyle w:val="3"/>
        <w:pageBreakBefore w:val="0"/>
        <w:kinsoku/>
        <w:wordWrap/>
        <w:overflowPunct/>
        <w:topLinePunct w:val="0"/>
        <w:autoSpaceDE/>
        <w:autoSpaceDN/>
        <w:bidi w:val="0"/>
        <w:adjustRightInd/>
        <w:snapToGrid/>
        <w:ind w:left="0" w:leftChars="0" w:firstLine="640" w:firstLineChars="200"/>
        <w:jc w:val="both"/>
        <w:textAlignment w:val="auto"/>
        <w:rPr>
          <w:rFonts w:ascii="Times New Roman" w:hAnsi="Times New Roman" w:eastAsia="方正黑体_GBK"/>
          <w:color w:val="000000" w:themeColor="text1"/>
          <w:spacing w:val="0"/>
          <w:lang w:val="en-US"/>
          <w14:textFill>
            <w14:solidFill>
              <w14:schemeClr w14:val="tx1"/>
            </w14:solidFill>
          </w14:textFill>
        </w:rPr>
      </w:pPr>
      <w:r>
        <w:rPr>
          <w:rFonts w:ascii="Times New Roman" w:hAnsi="Times New Roman" w:eastAsia="方正黑体_GBK"/>
          <w:color w:val="000000" w:themeColor="text1"/>
          <w:spacing w:val="0"/>
          <w:lang w:val="en-US"/>
          <w14:textFill>
            <w14:solidFill>
              <w14:schemeClr w14:val="tx1"/>
            </w14:solidFill>
          </w14:textFill>
        </w:rPr>
        <w:t>参赛报名及作品提交方式</w:t>
      </w:r>
    </w:p>
    <w:p>
      <w:pPr>
        <w:pStyle w:val="20"/>
        <w:pageBreakBefore w:val="0"/>
        <w:kinsoku/>
        <w:wordWrap/>
        <w:overflowPunct/>
        <w:topLinePunct w:val="0"/>
        <w:autoSpaceDE/>
        <w:autoSpaceDN/>
        <w:bidi w:val="0"/>
        <w:adjustRightInd/>
        <w:snapToGrid/>
        <w:spacing w:line="560" w:lineRule="exact"/>
        <w:ind w:left="0" w:leftChars="0" w:firstLine="640" w:firstLineChars="200"/>
        <w:textAlignment w:val="auto"/>
        <w:rPr>
          <w:spacing w:val="0"/>
          <w:lang w:val="en-US"/>
        </w:rPr>
      </w:pPr>
      <w:r>
        <w:rPr>
          <w:rFonts w:eastAsia="方正楷体_GBK"/>
          <w:spacing w:val="0"/>
          <w:sz w:val="32"/>
          <w:szCs w:val="32"/>
        </w:rPr>
        <w:t>1. 网上</w:t>
      </w:r>
      <w:r>
        <w:rPr>
          <w:rFonts w:eastAsia="方正楷体_GBK"/>
          <w:spacing w:val="0"/>
          <w:sz w:val="32"/>
          <w:szCs w:val="32"/>
          <w:lang w:val="en-US"/>
        </w:rPr>
        <w:t>报名方式</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spacing w:val="0"/>
          <w:sz w:val="32"/>
          <w:szCs w:val="32"/>
          <w:lang w:val="en-US"/>
        </w:rPr>
      </w:pPr>
      <w:r>
        <w:rPr>
          <w:rFonts w:eastAsia="方正仿宋_GBK"/>
          <w:spacing w:val="0"/>
          <w:sz w:val="32"/>
          <w:szCs w:val="32"/>
          <w:lang w:val="en-US"/>
        </w:rPr>
        <w:t>（1）请参赛同学通过PC电脑端登录报名网站（https://fxyh-t.bocmartech.com/jbgs/#/login），在线填写报名信息。</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spacing w:val="0"/>
          <w:sz w:val="32"/>
          <w:szCs w:val="32"/>
          <w:lang w:val="en-US"/>
        </w:rPr>
      </w:pPr>
      <w:r>
        <w:rPr>
          <w:rFonts w:eastAsia="方正仿宋_GBK"/>
          <w:spacing w:val="0"/>
          <w:sz w:val="32"/>
          <w:szCs w:val="32"/>
          <w:lang w:val="en-US"/>
        </w:rPr>
        <w:t>（2）报名信息提交后，请将系统生成报名表下载打印，根据提示，由申报人所在学校的学籍管理部门、院系、团委等部门分别进行审核（需严格按要求在指定位置完成签字和盖章）。</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spacing w:val="0"/>
          <w:sz w:val="32"/>
          <w:szCs w:val="32"/>
          <w:lang w:val="en-US"/>
        </w:rPr>
      </w:pPr>
      <w:r>
        <w:rPr>
          <w:rFonts w:eastAsia="方正仿宋_GBK"/>
          <w:spacing w:val="0"/>
          <w:sz w:val="32"/>
          <w:szCs w:val="32"/>
          <w:lang w:val="en-US"/>
        </w:rPr>
        <w:t>（3）将审核通过的报名表扫描件上传系统，等待所在学校及发榜单位审核。</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spacing w:val="0"/>
          <w:sz w:val="32"/>
          <w:szCs w:val="32"/>
          <w:lang w:val="en-US"/>
        </w:rPr>
      </w:pPr>
      <w:r>
        <w:rPr>
          <w:rFonts w:eastAsia="方正仿宋_GBK"/>
          <w:spacing w:val="0"/>
          <w:sz w:val="32"/>
          <w:szCs w:val="32"/>
          <w:lang w:val="en-US"/>
        </w:rPr>
        <w:t>（4）请参赛同学注意查看审核状态，如审核不通过，需重新提交。具体操作流程详见报名网站《操作手册》。</w:t>
      </w:r>
    </w:p>
    <w:p>
      <w:pPr>
        <w:pStyle w:val="4"/>
        <w:pageBreakBefore w:val="0"/>
        <w:numPr>
          <w:ilvl w:val="0"/>
          <w:numId w:val="0"/>
        </w:numPr>
        <w:kinsoku/>
        <w:wordWrap/>
        <w:overflowPunct/>
        <w:topLinePunct w:val="0"/>
        <w:autoSpaceDE/>
        <w:autoSpaceDN/>
        <w:bidi w:val="0"/>
        <w:adjustRightInd/>
        <w:snapToGrid/>
        <w:ind w:left="0" w:leftChars="0" w:firstLine="640" w:firstLineChars="200"/>
        <w:textAlignment w:val="auto"/>
        <w:rPr>
          <w:rFonts w:ascii="Times New Roman" w:hAnsi="Times New Roman"/>
          <w:color w:val="000000" w:themeColor="text1"/>
          <w:spacing w:val="0"/>
          <w14:textFill>
            <w14:solidFill>
              <w14:schemeClr w14:val="tx1"/>
            </w14:solidFill>
          </w14:textFill>
        </w:rPr>
      </w:pPr>
      <w:r>
        <w:rPr>
          <w:rFonts w:ascii="Times New Roman" w:hAnsi="Times New Roman" w:eastAsia="方正楷体_GBK"/>
          <w:color w:val="000000" w:themeColor="text1"/>
          <w:spacing w:val="0"/>
          <w:szCs w:val="32"/>
          <w14:textFill>
            <w14:solidFill>
              <w14:schemeClr w14:val="tx1"/>
            </w14:solidFill>
          </w14:textFill>
        </w:rPr>
        <w:t xml:space="preserve">2. </w:t>
      </w:r>
      <w:r>
        <w:rPr>
          <w:rFonts w:ascii="Times New Roman" w:hAnsi="Times New Roman"/>
          <w:color w:val="000000" w:themeColor="text1"/>
          <w:spacing w:val="0"/>
          <w14:textFill>
            <w14:solidFill>
              <w14:schemeClr w14:val="tx1"/>
            </w14:solidFill>
          </w14:textFill>
        </w:rPr>
        <w:t>具体作品提交方式</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spacing w:val="0"/>
          <w:sz w:val="32"/>
          <w:szCs w:val="32"/>
        </w:rPr>
      </w:pPr>
      <w:r>
        <w:rPr>
          <w:rFonts w:eastAsia="方正仿宋_GBK"/>
          <w:spacing w:val="0"/>
          <w:sz w:val="32"/>
          <w:szCs w:val="32"/>
        </w:rPr>
        <w:t>提交具体作品时，务必一并提交1份报名系统中审核通过的参赛报名表（所有信息与系统中填报信息保持严格一致）。</w:t>
      </w:r>
    </w:p>
    <w:p>
      <w:pPr>
        <w:pageBreakBefore w:val="0"/>
        <w:kinsoku/>
        <w:wordWrap/>
        <w:overflowPunct/>
        <w:topLinePunct w:val="0"/>
        <w:autoSpaceDE/>
        <w:autoSpaceDN/>
        <w:bidi w:val="0"/>
        <w:adjustRightInd/>
        <w:snapToGrid/>
        <w:spacing w:line="560" w:lineRule="exact"/>
        <w:ind w:left="0" w:leftChars="0" w:firstLine="640" w:firstLineChars="200"/>
        <w:textAlignment w:val="auto"/>
        <w:rPr>
          <w:rFonts w:eastAsia="方正仿宋_GBK"/>
          <w:bCs/>
          <w:color w:val="000000" w:themeColor="text1"/>
          <w:spacing w:val="0"/>
          <w:sz w:val="32"/>
          <w:szCs w:val="32"/>
          <w14:textFill>
            <w14:solidFill>
              <w14:schemeClr w14:val="tx1"/>
            </w14:solidFill>
          </w14:textFill>
        </w:rPr>
      </w:pPr>
      <w:r>
        <w:rPr>
          <w:rFonts w:eastAsia="方正仿宋_GBK"/>
          <w:bCs/>
          <w:color w:val="000000" w:themeColor="text1"/>
          <w:spacing w:val="0"/>
          <w:sz w:val="32"/>
          <w:szCs w:val="32"/>
          <w14:textFill>
            <w14:solidFill>
              <w14:schemeClr w14:val="tx1"/>
            </w14:solidFill>
          </w14:textFill>
        </w:rPr>
        <w:t>请将作品以压缩包格式上传至网站指定路径（https://challenge.dtxiaotangren.com）。压缩包名称格式：提报单位（学校全称）-选题名称-作品名称。</w:t>
      </w:r>
    </w:p>
    <w:p>
      <w:pPr>
        <w:pStyle w:val="3"/>
        <w:pageBreakBefore w:val="0"/>
        <w:kinsoku/>
        <w:wordWrap/>
        <w:overflowPunct/>
        <w:topLinePunct w:val="0"/>
        <w:autoSpaceDE/>
        <w:autoSpaceDN/>
        <w:bidi w:val="0"/>
        <w:adjustRightInd/>
        <w:snapToGrid/>
        <w:ind w:left="0" w:leftChars="0" w:firstLine="640" w:firstLineChars="200"/>
        <w:jc w:val="both"/>
        <w:textAlignment w:val="auto"/>
        <w:rPr>
          <w:rFonts w:ascii="Times New Roman" w:hAnsi="Times New Roman" w:eastAsia="方正黑体_GBK"/>
          <w:color w:val="000000" w:themeColor="text1"/>
          <w:spacing w:val="0"/>
          <w:lang w:val="en-US"/>
          <w14:textFill>
            <w14:solidFill>
              <w14:schemeClr w14:val="tx1"/>
            </w14:solidFill>
          </w14:textFill>
        </w:rPr>
      </w:pPr>
      <w:r>
        <w:rPr>
          <w:rFonts w:ascii="Times New Roman" w:hAnsi="Times New Roman" w:eastAsia="方正黑体_GBK"/>
          <w:color w:val="000000" w:themeColor="text1"/>
          <w:spacing w:val="0"/>
          <w:lang w:val="en-US"/>
          <w14:textFill>
            <w14:solidFill>
              <w14:schemeClr w14:val="tx1"/>
            </w14:solidFill>
          </w14:textFill>
        </w:rPr>
        <w:t>赛事保障</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对于参加本项目的参赛团队，本单位可以根据团队的实际需求，在参观交流、相关资料（不涉密）、专业指导以及其他项目必须条件等方面提供帮助。</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本单位在参赛团队完成相关审核等程序后可提供参观应用现场的机会。</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本单位将为此次比赛组建专业指导团队，指导团队将由出题单位专家组成，或根据选手的专业特点指派指导老师，同时为了保证在项目相关资料等问题方面给予团队及时的帮助，团队还将为每个参赛团队指定一名辅导老师，辅导老师由本单位专业技术人员组成，并在参赛团队完成报名后予以明确。</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赛事办公室设在</w:t>
      </w:r>
      <w:r>
        <w:rPr>
          <w:rFonts w:hint="eastAsia" w:eastAsia="方正仿宋_GBK"/>
          <w:color w:val="000000" w:themeColor="text1"/>
          <w:spacing w:val="0"/>
          <w:sz w:val="32"/>
          <w:szCs w:val="32"/>
          <w:lang w:val="en-US"/>
          <w14:textFill>
            <w14:solidFill>
              <w14:schemeClr w14:val="tx1"/>
            </w14:solidFill>
          </w14:textFill>
        </w:rPr>
        <w:t>国家动物用保健品工程技术研究中心</w:t>
      </w:r>
      <w:r>
        <w:rPr>
          <w:rFonts w:eastAsia="方正仿宋_GBK"/>
          <w:color w:val="000000" w:themeColor="text1"/>
          <w:spacing w:val="0"/>
          <w:sz w:val="32"/>
          <w:szCs w:val="32"/>
          <w:lang w:val="en-US"/>
          <w14:textFill>
            <w14:solidFill>
              <w14:schemeClr w14:val="tx1"/>
            </w14:solidFill>
          </w14:textFill>
        </w:rPr>
        <w:t>，参赛过程中，参赛团队如需本单位提供与项目相关的其他必须帮助，请提前与赛事办公室联系，我们将在许可范围内给予参赛团队帮助。</w:t>
      </w:r>
    </w:p>
    <w:p>
      <w:pPr>
        <w:pStyle w:val="3"/>
        <w:pageBreakBefore w:val="0"/>
        <w:kinsoku/>
        <w:wordWrap/>
        <w:overflowPunct/>
        <w:topLinePunct w:val="0"/>
        <w:autoSpaceDE/>
        <w:autoSpaceDN/>
        <w:bidi w:val="0"/>
        <w:adjustRightInd/>
        <w:snapToGrid/>
        <w:ind w:left="0" w:leftChars="0" w:firstLine="640" w:firstLineChars="200"/>
        <w:jc w:val="both"/>
        <w:textAlignment w:val="auto"/>
        <w:rPr>
          <w:rFonts w:ascii="Times New Roman" w:hAnsi="Times New Roman" w:eastAsia="方正黑体_GBK"/>
          <w:color w:val="000000" w:themeColor="text1"/>
          <w:spacing w:val="0"/>
          <w:lang w:val="en-US"/>
          <w14:textFill>
            <w14:solidFill>
              <w14:schemeClr w14:val="tx1"/>
            </w14:solidFill>
          </w14:textFill>
        </w:rPr>
      </w:pPr>
      <w:r>
        <w:rPr>
          <w:rFonts w:ascii="Times New Roman" w:hAnsi="Times New Roman" w:eastAsia="方正黑体_GBK"/>
          <w:color w:val="000000" w:themeColor="text1"/>
          <w:spacing w:val="0"/>
          <w:lang w:val="en-US"/>
          <w14:textFill>
            <w14:solidFill>
              <w14:schemeClr w14:val="tx1"/>
            </w14:solidFill>
          </w14:textFill>
        </w:rPr>
        <w:t>设奖情况及奖励措施</w:t>
      </w:r>
    </w:p>
    <w:p>
      <w:pPr>
        <w:pStyle w:val="4"/>
        <w:pageBreakBefore w:val="0"/>
        <w:numPr>
          <w:ilvl w:val="0"/>
          <w:numId w:val="6"/>
        </w:numPr>
        <w:kinsoku/>
        <w:wordWrap/>
        <w:overflowPunct/>
        <w:topLinePunct w:val="0"/>
        <w:autoSpaceDE/>
        <w:autoSpaceDN/>
        <w:bidi w:val="0"/>
        <w:adjustRightInd/>
        <w:snapToGrid/>
        <w:ind w:left="0" w:leftChars="0" w:firstLine="640" w:firstLineChars="200"/>
        <w:textAlignment w:val="auto"/>
        <w:rPr>
          <w:rFonts w:ascii="Times New Roman" w:hAnsi="Times New Roman" w:eastAsia="方正楷体_GBK"/>
          <w:color w:val="000000" w:themeColor="text1"/>
          <w:spacing w:val="0"/>
          <w:lang w:val="en-US"/>
          <w14:textFill>
            <w14:solidFill>
              <w14:schemeClr w14:val="tx1"/>
            </w14:solidFill>
          </w14:textFill>
        </w:rPr>
      </w:pPr>
      <w:r>
        <w:rPr>
          <w:rFonts w:ascii="Times New Roman" w:hAnsi="Times New Roman" w:eastAsia="方正楷体_GBK"/>
          <w:color w:val="000000" w:themeColor="text1"/>
          <w:spacing w:val="0"/>
          <w:lang w:val="en-US"/>
          <w14:textFill>
            <w14:solidFill>
              <w14:schemeClr w14:val="tx1"/>
            </w14:solidFill>
          </w14:textFill>
        </w:rPr>
        <w:t>设奖情况</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原则上设特等奖5个，一、二、三等奖</w:t>
      </w:r>
      <w:r>
        <w:rPr>
          <w:rFonts w:hint="eastAsia" w:eastAsia="方正仿宋_GBK"/>
          <w:color w:val="000000" w:themeColor="text1"/>
          <w:spacing w:val="0"/>
          <w:sz w:val="32"/>
          <w:szCs w:val="32"/>
          <w:lang w:val="en-US"/>
          <w14:textFill>
            <w14:solidFill>
              <w14:schemeClr w14:val="tx1"/>
            </w14:solidFill>
          </w14:textFill>
        </w:rPr>
        <w:t>各5名</w:t>
      </w:r>
      <w:r>
        <w:rPr>
          <w:rFonts w:eastAsia="方正仿宋_GBK"/>
          <w:color w:val="000000" w:themeColor="text1"/>
          <w:spacing w:val="0"/>
          <w:sz w:val="32"/>
          <w:szCs w:val="32"/>
          <w:lang w:val="en-US"/>
          <w14:textFill>
            <w14:solidFill>
              <w14:schemeClr w14:val="tx1"/>
            </w14:solidFill>
          </w14:textFill>
        </w:rPr>
        <w:t>，从特等奖获奖团队中决出1个“擂主”。</w:t>
      </w:r>
    </w:p>
    <w:p>
      <w:pPr>
        <w:pStyle w:val="4"/>
        <w:pageBreakBefore w:val="0"/>
        <w:numPr>
          <w:ilvl w:val="0"/>
          <w:numId w:val="6"/>
        </w:numPr>
        <w:kinsoku/>
        <w:wordWrap/>
        <w:overflowPunct/>
        <w:topLinePunct w:val="0"/>
        <w:autoSpaceDE/>
        <w:autoSpaceDN/>
        <w:bidi w:val="0"/>
        <w:adjustRightInd/>
        <w:snapToGrid/>
        <w:ind w:left="0" w:leftChars="0" w:firstLine="640" w:firstLineChars="200"/>
        <w:textAlignment w:val="auto"/>
        <w:rPr>
          <w:rFonts w:ascii="Times New Roman" w:hAnsi="Times New Roman" w:eastAsia="方正楷体_GBK"/>
          <w:color w:val="000000" w:themeColor="text1"/>
          <w:spacing w:val="0"/>
          <w:lang w:val="en-US"/>
          <w14:textFill>
            <w14:solidFill>
              <w14:schemeClr w14:val="tx1"/>
            </w14:solidFill>
          </w14:textFill>
        </w:rPr>
      </w:pPr>
      <w:r>
        <w:rPr>
          <w:rFonts w:ascii="Times New Roman" w:hAnsi="Times New Roman" w:eastAsia="方正楷体_GBK"/>
          <w:color w:val="000000" w:themeColor="text1"/>
          <w:spacing w:val="0"/>
          <w:lang w:val="en-US"/>
          <w14:textFill>
            <w14:solidFill>
              <w14:schemeClr w14:val="tx1"/>
            </w14:solidFill>
          </w14:textFill>
        </w:rPr>
        <w:t>奖励措施</w:t>
      </w:r>
    </w:p>
    <w:p>
      <w:pPr>
        <w:pageBreakBefore w:val="0"/>
        <w:numPr>
          <w:ilvl w:val="0"/>
          <w:numId w:val="7"/>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本单位将结合项目实际，对获得</w:t>
      </w:r>
      <w:r>
        <w:rPr>
          <w:rFonts w:hint="eastAsia" w:ascii="方正仿宋_GBK" w:hAnsi="方正仿宋_GBK" w:eastAsia="方正仿宋_GBK" w:cs="方正仿宋_GBK"/>
          <w:color w:val="000000" w:themeColor="text1"/>
          <w:spacing w:val="0"/>
          <w:sz w:val="32"/>
          <w:szCs w:val="32"/>
          <w:lang w:val="en-US"/>
          <w14:textFill>
            <w14:solidFill>
              <w14:schemeClr w14:val="tx1"/>
            </w14:solidFill>
          </w14:textFill>
        </w:rPr>
        <w:t>“擂主”</w:t>
      </w:r>
      <w:r>
        <w:rPr>
          <w:rFonts w:eastAsia="方正仿宋_GBK"/>
          <w:color w:val="000000" w:themeColor="text1"/>
          <w:spacing w:val="0"/>
          <w:sz w:val="32"/>
          <w:szCs w:val="32"/>
          <w:lang w:val="en-US"/>
          <w14:textFill>
            <w14:solidFill>
              <w14:schemeClr w14:val="tx1"/>
            </w14:solidFill>
          </w14:textFill>
        </w:rPr>
        <w:t>的项目每项奖励4万元，对获得其他特等奖的项目每项奖励1万元，一等奖每项奖励0.5万元，二等奖每项奖励0.4万元，三等奖每项奖励0.3万元，且分配给参赛学生（团队）的奖励资金不低于总数的50%。奖励资金实行单独核算、专款专用，任何单位和个人不得截留、挤占、挪用。</w:t>
      </w:r>
    </w:p>
    <w:p>
      <w:pPr>
        <w:pageBreakBefore w:val="0"/>
        <w:numPr>
          <w:ilvl w:val="0"/>
          <w:numId w:val="7"/>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工作成果如获本单位认可，投入应用实践，团队成员可以允许参与本单位项目研发，同时根据项目成果给予额外奖励。</w:t>
      </w:r>
    </w:p>
    <w:p>
      <w:pPr>
        <w:pageBreakBefore w:val="0"/>
        <w:numPr>
          <w:ilvl w:val="0"/>
          <w:numId w:val="7"/>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获奖团队成员如应聘</w:t>
      </w:r>
      <w:r>
        <w:rPr>
          <w:rFonts w:hint="eastAsia" w:eastAsia="方正仿宋_GBK"/>
          <w:color w:val="000000" w:themeColor="text1"/>
          <w:spacing w:val="0"/>
          <w:sz w:val="32"/>
          <w:szCs w:val="32"/>
          <w:lang w:val="en-US"/>
          <w14:textFill>
            <w14:solidFill>
              <w14:schemeClr w14:val="tx1"/>
            </w14:solidFill>
          </w14:textFill>
        </w:rPr>
        <w:t>青岛动保国家工程技术研究中心有限公司</w:t>
      </w:r>
      <w:r>
        <w:rPr>
          <w:rFonts w:eastAsia="方正仿宋_GBK"/>
          <w:color w:val="000000" w:themeColor="text1"/>
          <w:spacing w:val="0"/>
          <w:sz w:val="32"/>
          <w:szCs w:val="32"/>
          <w:lang w:val="en-US"/>
          <w14:textFill>
            <w14:solidFill>
              <w14:schemeClr w14:val="tx1"/>
            </w14:solidFill>
          </w14:textFill>
        </w:rPr>
        <w:t>，同等条件下可优先录取。</w:t>
      </w:r>
    </w:p>
    <w:p>
      <w:pPr>
        <w:pStyle w:val="4"/>
        <w:pageBreakBefore w:val="0"/>
        <w:numPr>
          <w:ilvl w:val="0"/>
          <w:numId w:val="6"/>
        </w:numPr>
        <w:kinsoku/>
        <w:wordWrap/>
        <w:overflowPunct/>
        <w:topLinePunct w:val="0"/>
        <w:autoSpaceDE/>
        <w:autoSpaceDN/>
        <w:bidi w:val="0"/>
        <w:adjustRightInd/>
        <w:snapToGrid/>
        <w:ind w:left="0" w:leftChars="0" w:firstLine="640" w:firstLineChars="200"/>
        <w:textAlignment w:val="auto"/>
        <w:rPr>
          <w:rFonts w:ascii="Times New Roman" w:hAnsi="Times New Roman" w:eastAsia="方正楷体_GBK"/>
          <w:color w:val="000000" w:themeColor="text1"/>
          <w:spacing w:val="0"/>
          <w:lang w:val="en-US"/>
          <w14:textFill>
            <w14:solidFill>
              <w14:schemeClr w14:val="tx1"/>
            </w14:solidFill>
          </w14:textFill>
        </w:rPr>
      </w:pPr>
      <w:r>
        <w:rPr>
          <w:rFonts w:ascii="Times New Roman" w:hAnsi="Times New Roman" w:eastAsia="方正楷体_GBK"/>
          <w:color w:val="000000" w:themeColor="text1"/>
          <w:spacing w:val="0"/>
          <w:lang w:val="en-US"/>
          <w14:textFill>
            <w14:solidFill>
              <w14:schemeClr w14:val="tx1"/>
            </w14:solidFill>
          </w14:textFill>
        </w:rPr>
        <w:t>奖金发放方式</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所有现金奖励将在比赛结束后1个季度内，通过银行转账的方式，发放至各获奖团队指定的账号。</w:t>
      </w:r>
    </w:p>
    <w:p>
      <w:pPr>
        <w:pStyle w:val="3"/>
        <w:pageBreakBefore w:val="0"/>
        <w:widowControl/>
        <w:kinsoku/>
        <w:wordWrap/>
        <w:overflowPunct/>
        <w:topLinePunct w:val="0"/>
        <w:autoSpaceDE/>
        <w:autoSpaceDN/>
        <w:bidi w:val="0"/>
        <w:adjustRightInd/>
        <w:snapToGrid/>
        <w:spacing w:line="480" w:lineRule="exact"/>
        <w:ind w:left="0" w:leftChars="0" w:firstLine="640" w:firstLineChars="200"/>
        <w:jc w:val="both"/>
        <w:textAlignment w:val="auto"/>
        <w:rPr>
          <w:rFonts w:ascii="Times New Roman" w:hAnsi="Times New Roman" w:eastAsia="方正黑体_GBK"/>
          <w:color w:val="000000" w:themeColor="text1"/>
          <w:spacing w:val="0"/>
          <w:lang w:val="en-US"/>
          <w14:textFill>
            <w14:solidFill>
              <w14:schemeClr w14:val="tx1"/>
            </w14:solidFill>
          </w14:textFill>
        </w:rPr>
      </w:pPr>
      <w:r>
        <w:rPr>
          <w:rFonts w:ascii="Times New Roman" w:hAnsi="Times New Roman" w:eastAsia="方正黑体_GBK"/>
          <w:color w:val="000000" w:themeColor="text1"/>
          <w:spacing w:val="0"/>
          <w:lang w:val="en-US"/>
          <w14:textFill>
            <w14:solidFill>
              <w14:schemeClr w14:val="tx1"/>
            </w14:solidFill>
          </w14:textFill>
        </w:rPr>
        <w:t>比赛专班联系方式</w:t>
      </w:r>
    </w:p>
    <w:p>
      <w:pPr>
        <w:pStyle w:val="4"/>
        <w:pageBreakBefore w:val="0"/>
        <w:widowControl/>
        <w:numPr>
          <w:ilvl w:val="0"/>
          <w:numId w:val="8"/>
        </w:numPr>
        <w:kinsoku/>
        <w:wordWrap/>
        <w:overflowPunct/>
        <w:topLinePunct w:val="0"/>
        <w:autoSpaceDE/>
        <w:autoSpaceDN/>
        <w:bidi w:val="0"/>
        <w:adjustRightInd/>
        <w:snapToGrid/>
        <w:spacing w:line="480" w:lineRule="exact"/>
        <w:ind w:left="0" w:leftChars="0" w:firstLine="640" w:firstLineChars="200"/>
        <w:textAlignment w:val="auto"/>
        <w:rPr>
          <w:rFonts w:ascii="Times New Roman" w:hAnsi="Times New Roman" w:eastAsia="方正楷体_GBK"/>
          <w:color w:val="000000" w:themeColor="text1"/>
          <w:spacing w:val="0"/>
          <w:lang w:val="en-US"/>
          <w14:textFill>
            <w14:solidFill>
              <w14:schemeClr w14:val="tx1"/>
            </w14:solidFill>
          </w14:textFill>
        </w:rPr>
      </w:pPr>
      <w:r>
        <w:rPr>
          <w:rFonts w:ascii="Times New Roman" w:hAnsi="Times New Roman" w:eastAsia="方正楷体_GBK"/>
          <w:color w:val="000000" w:themeColor="text1"/>
          <w:spacing w:val="0"/>
          <w:lang w:val="en-US"/>
          <w14:textFill>
            <w14:solidFill>
              <w14:schemeClr w14:val="tx1"/>
            </w14:solidFill>
          </w14:textFill>
        </w:rPr>
        <w:t>专家指导团队</w:t>
      </w:r>
    </w:p>
    <w:p>
      <w:pPr>
        <w:pageBreakBefore w:val="0"/>
        <w:widowControl/>
        <w:kinsoku/>
        <w:wordWrap/>
        <w:overflowPunct/>
        <w:topLinePunct w:val="0"/>
        <w:autoSpaceDE/>
        <w:autoSpaceDN/>
        <w:bidi w:val="0"/>
        <w:adjustRightInd/>
        <w:snapToGrid/>
        <w:spacing w:line="480" w:lineRule="exact"/>
        <w:ind w:left="0" w:leftChars="0" w:firstLine="640" w:firstLineChars="200"/>
        <w:textAlignment w:val="auto"/>
        <w:rPr>
          <w:rFonts w:eastAsia="方正仿宋_GBK"/>
          <w:color w:val="000000" w:themeColor="text1"/>
          <w:spacing w:val="0"/>
          <w:sz w:val="32"/>
          <w:szCs w:val="32"/>
          <w:highlight w:val="yellow"/>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联络专员：刘老师，联系方式：138</w:t>
      </w:r>
      <w:r>
        <w:rPr>
          <w:rFonts w:hint="eastAsia" w:eastAsia="方正仿宋_GBK"/>
          <w:color w:val="000000" w:themeColor="text1"/>
          <w:spacing w:val="0"/>
          <w:sz w:val="32"/>
          <w:szCs w:val="32"/>
          <w:lang w:val="en-US"/>
          <w14:textFill>
            <w14:solidFill>
              <w14:schemeClr w14:val="tx1"/>
            </w14:solidFill>
          </w14:textFill>
        </w:rPr>
        <w:t>64242618</w:t>
      </w:r>
    </w:p>
    <w:p>
      <w:pPr>
        <w:pageBreakBefore w:val="0"/>
        <w:widowControl/>
        <w:kinsoku/>
        <w:wordWrap/>
        <w:overflowPunct/>
        <w:topLinePunct w:val="0"/>
        <w:autoSpaceDE/>
        <w:autoSpaceDN/>
        <w:bidi w:val="0"/>
        <w:adjustRightInd/>
        <w:snapToGrid/>
        <w:spacing w:line="480" w:lineRule="exact"/>
        <w:ind w:left="0" w:leftChars="0" w:firstLine="640" w:firstLineChars="200"/>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指导专家：</w:t>
      </w:r>
      <w:r>
        <w:rPr>
          <w:rFonts w:hint="eastAsia" w:eastAsia="方正仿宋_GBK"/>
          <w:color w:val="000000" w:themeColor="text1"/>
          <w:spacing w:val="0"/>
          <w:sz w:val="32"/>
          <w:szCs w:val="32"/>
          <w:lang w:val="en-US"/>
          <w14:textFill>
            <w14:solidFill>
              <w14:schemeClr w14:val="tx1"/>
            </w14:solidFill>
          </w14:textFill>
        </w:rPr>
        <w:t>蔡</w:t>
      </w:r>
      <w:r>
        <w:rPr>
          <w:rFonts w:eastAsia="方正仿宋_GBK"/>
          <w:color w:val="000000" w:themeColor="text1"/>
          <w:spacing w:val="0"/>
          <w:sz w:val="32"/>
          <w:szCs w:val="32"/>
          <w:lang w:val="en-US"/>
          <w14:textFill>
            <w14:solidFill>
              <w14:schemeClr w14:val="tx1"/>
            </w14:solidFill>
          </w14:textFill>
        </w:rPr>
        <w:t>老师，联系方式：1</w:t>
      </w:r>
      <w:r>
        <w:rPr>
          <w:rFonts w:hint="eastAsia" w:eastAsia="方正仿宋_GBK"/>
          <w:color w:val="000000" w:themeColor="text1"/>
          <w:spacing w:val="0"/>
          <w:sz w:val="32"/>
          <w:szCs w:val="32"/>
          <w:lang w:val="en-US"/>
          <w14:textFill>
            <w14:solidFill>
              <w14:schemeClr w14:val="tx1"/>
            </w14:solidFill>
          </w14:textFill>
        </w:rPr>
        <w:t>5689103916</w:t>
      </w:r>
    </w:p>
    <w:p>
      <w:pPr>
        <w:pageBreakBefore w:val="0"/>
        <w:widowControl/>
        <w:kinsoku/>
        <w:wordWrap/>
        <w:overflowPunct/>
        <w:topLinePunct w:val="0"/>
        <w:autoSpaceDE/>
        <w:autoSpaceDN/>
        <w:bidi w:val="0"/>
        <w:adjustRightInd/>
        <w:snapToGrid/>
        <w:spacing w:line="480" w:lineRule="exact"/>
        <w:ind w:left="0" w:leftChars="0" w:firstLine="640" w:firstLineChars="200"/>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负责比赛进行期间技术指导保障。</w:t>
      </w:r>
    </w:p>
    <w:p>
      <w:pPr>
        <w:pStyle w:val="4"/>
        <w:pageBreakBefore w:val="0"/>
        <w:widowControl/>
        <w:numPr>
          <w:ilvl w:val="0"/>
          <w:numId w:val="8"/>
        </w:numPr>
        <w:kinsoku/>
        <w:wordWrap/>
        <w:overflowPunct/>
        <w:topLinePunct w:val="0"/>
        <w:autoSpaceDE/>
        <w:autoSpaceDN/>
        <w:bidi w:val="0"/>
        <w:adjustRightInd/>
        <w:snapToGrid/>
        <w:spacing w:line="480" w:lineRule="exact"/>
        <w:ind w:left="0" w:leftChars="0" w:firstLine="640" w:firstLineChars="200"/>
        <w:textAlignment w:val="auto"/>
        <w:rPr>
          <w:rFonts w:ascii="Times New Roman" w:hAnsi="Times New Roman" w:eastAsia="方正楷体_GBK"/>
          <w:color w:val="000000" w:themeColor="text1"/>
          <w:spacing w:val="0"/>
          <w:lang w:val="en-US"/>
          <w14:textFill>
            <w14:solidFill>
              <w14:schemeClr w14:val="tx1"/>
            </w14:solidFill>
          </w14:textFill>
        </w:rPr>
      </w:pPr>
      <w:r>
        <w:rPr>
          <w:rFonts w:ascii="Times New Roman" w:hAnsi="Times New Roman" w:eastAsia="方正楷体_GBK"/>
          <w:color w:val="000000" w:themeColor="text1"/>
          <w:spacing w:val="0"/>
          <w:lang w:val="en-US"/>
          <w14:textFill>
            <w14:solidFill>
              <w14:schemeClr w14:val="tx1"/>
            </w14:solidFill>
          </w14:textFill>
        </w:rPr>
        <w:t>赛事服务团队</w:t>
      </w:r>
    </w:p>
    <w:p>
      <w:pPr>
        <w:pageBreakBefore w:val="0"/>
        <w:widowControl/>
        <w:kinsoku/>
        <w:wordWrap/>
        <w:overflowPunct/>
        <w:topLinePunct w:val="0"/>
        <w:autoSpaceDE/>
        <w:autoSpaceDN/>
        <w:bidi w:val="0"/>
        <w:adjustRightInd/>
        <w:snapToGrid/>
        <w:spacing w:line="480" w:lineRule="exact"/>
        <w:ind w:left="0" w:leftChars="0" w:firstLine="640" w:firstLineChars="200"/>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联络专员：刘老师，联系方式：138</w:t>
      </w:r>
      <w:r>
        <w:rPr>
          <w:rFonts w:hint="eastAsia" w:eastAsia="方正仿宋_GBK"/>
          <w:color w:val="000000" w:themeColor="text1"/>
          <w:spacing w:val="0"/>
          <w:sz w:val="32"/>
          <w:szCs w:val="32"/>
          <w:lang w:val="en-US"/>
          <w14:textFill>
            <w14:solidFill>
              <w14:schemeClr w14:val="tx1"/>
            </w14:solidFill>
          </w14:textFill>
        </w:rPr>
        <w:t>64242618</w:t>
      </w:r>
    </w:p>
    <w:p>
      <w:pPr>
        <w:pageBreakBefore w:val="0"/>
        <w:widowControl/>
        <w:kinsoku/>
        <w:wordWrap/>
        <w:overflowPunct/>
        <w:topLinePunct w:val="0"/>
        <w:autoSpaceDE/>
        <w:autoSpaceDN/>
        <w:bidi w:val="0"/>
        <w:adjustRightInd/>
        <w:snapToGrid/>
        <w:spacing w:line="480" w:lineRule="exact"/>
        <w:ind w:left="0" w:leftChars="0" w:firstLine="640" w:firstLineChars="200"/>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负责比赛进行期间组织服务及后期相关赛务协调联络。</w:t>
      </w:r>
    </w:p>
    <w:p>
      <w:pPr>
        <w:pStyle w:val="4"/>
        <w:pageBreakBefore w:val="0"/>
        <w:widowControl/>
        <w:numPr>
          <w:ilvl w:val="0"/>
          <w:numId w:val="8"/>
        </w:numPr>
        <w:kinsoku/>
        <w:wordWrap/>
        <w:overflowPunct/>
        <w:topLinePunct w:val="0"/>
        <w:autoSpaceDE/>
        <w:autoSpaceDN/>
        <w:bidi w:val="0"/>
        <w:adjustRightInd/>
        <w:snapToGrid/>
        <w:spacing w:line="480" w:lineRule="exact"/>
        <w:ind w:left="0" w:leftChars="0" w:firstLine="640" w:firstLineChars="200"/>
        <w:textAlignment w:val="auto"/>
        <w:rPr>
          <w:rFonts w:ascii="Times New Roman" w:hAnsi="Times New Roman" w:eastAsia="方正楷体_GBK"/>
          <w:color w:val="000000" w:themeColor="text1"/>
          <w:spacing w:val="0"/>
          <w:lang w:val="en-US"/>
          <w14:textFill>
            <w14:solidFill>
              <w14:schemeClr w14:val="tx1"/>
            </w14:solidFill>
          </w14:textFill>
        </w:rPr>
      </w:pPr>
      <w:r>
        <w:rPr>
          <w:rFonts w:ascii="Times New Roman" w:hAnsi="Times New Roman" w:eastAsia="方正楷体_GBK"/>
          <w:color w:val="000000" w:themeColor="text1"/>
          <w:spacing w:val="0"/>
          <w:lang w:val="en-US"/>
          <w14:textFill>
            <w14:solidFill>
              <w14:schemeClr w14:val="tx1"/>
            </w14:solidFill>
          </w14:textFill>
        </w:rPr>
        <w:t>联系时间</w:t>
      </w:r>
    </w:p>
    <w:p>
      <w:pPr>
        <w:pageBreakBefore w:val="0"/>
        <w:widowControl/>
        <w:kinsoku/>
        <w:wordWrap/>
        <w:overflowPunct/>
        <w:topLinePunct w:val="0"/>
        <w:autoSpaceDE/>
        <w:autoSpaceDN/>
        <w:bidi w:val="0"/>
        <w:adjustRightInd/>
        <w:snapToGrid/>
        <w:spacing w:line="480" w:lineRule="exact"/>
        <w:ind w:left="0" w:leftChars="0" w:firstLine="640" w:firstLineChars="200"/>
        <w:textAlignment w:val="auto"/>
        <w:rPr>
          <w:rFonts w:eastAsia="方正仿宋_GBK"/>
          <w:color w:val="000000" w:themeColor="text1"/>
          <w:spacing w:val="0"/>
          <w:sz w:val="32"/>
          <w:szCs w:val="32"/>
          <w:lang w:val="en-US"/>
          <w14:textFill>
            <w14:solidFill>
              <w14:schemeClr w14:val="tx1"/>
            </w14:solidFill>
          </w14:textFill>
        </w:rPr>
      </w:pPr>
      <w:r>
        <w:rPr>
          <w:rFonts w:eastAsia="方正仿宋_GBK"/>
          <w:color w:val="000000" w:themeColor="text1"/>
          <w:spacing w:val="0"/>
          <w:sz w:val="32"/>
          <w:szCs w:val="32"/>
          <w:lang w:val="en-US"/>
          <w14:textFill>
            <w14:solidFill>
              <w14:schemeClr w14:val="tx1"/>
            </w14:solidFill>
          </w14:textFill>
        </w:rPr>
        <w:t>比赛进行期间工作日（8:30-11:30，14:00-17:30）</w:t>
      </w:r>
    </w:p>
    <w:p>
      <w:pPr>
        <w:pageBreakBefore w:val="0"/>
        <w:widowControl/>
        <w:kinsoku/>
        <w:wordWrap/>
        <w:overflowPunct/>
        <w:topLinePunct w:val="0"/>
        <w:autoSpaceDE/>
        <w:autoSpaceDN/>
        <w:bidi w:val="0"/>
        <w:adjustRightInd/>
        <w:snapToGrid/>
        <w:spacing w:line="480" w:lineRule="exact"/>
        <w:ind w:left="0" w:leftChars="0" w:firstLine="640" w:firstLineChars="200"/>
        <w:textAlignment w:val="auto"/>
        <w:rPr>
          <w:rFonts w:eastAsia="方正仿宋_GBK"/>
          <w:color w:val="000000" w:themeColor="text1"/>
          <w:spacing w:val="0"/>
          <w:sz w:val="32"/>
          <w:szCs w:val="32"/>
          <w:lang w:val="en-US"/>
          <w14:textFill>
            <w14:solidFill>
              <w14:schemeClr w14:val="tx1"/>
            </w14:solidFill>
          </w14:textFill>
        </w:rPr>
      </w:pPr>
    </w:p>
    <w:p>
      <w:pPr>
        <w:pageBreakBefore w:val="0"/>
        <w:widowControl/>
        <w:kinsoku/>
        <w:wordWrap/>
        <w:overflowPunct/>
        <w:topLinePunct w:val="0"/>
        <w:autoSpaceDE/>
        <w:autoSpaceDN/>
        <w:bidi w:val="0"/>
        <w:adjustRightInd/>
        <w:snapToGrid/>
        <w:spacing w:line="480" w:lineRule="exact"/>
        <w:ind w:left="0" w:leftChars="0" w:firstLine="640" w:firstLineChars="200"/>
        <w:jc w:val="right"/>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青岛动保国家工程技术研究中心有限公司</w:t>
      </w:r>
    </w:p>
    <w:p>
      <w:pPr>
        <w:pageBreakBefore w:val="0"/>
        <w:widowControl/>
        <w:kinsoku/>
        <w:wordWrap/>
        <w:overflowPunct/>
        <w:topLinePunct w:val="0"/>
        <w:autoSpaceDE/>
        <w:autoSpaceDN/>
        <w:bidi w:val="0"/>
        <w:adjustRightInd/>
        <w:snapToGrid/>
        <w:spacing w:line="480" w:lineRule="exact"/>
        <w:ind w:left="0" w:leftChars="0" w:firstLine="640" w:firstLineChars="200"/>
        <w:jc w:val="right"/>
        <w:textAlignment w:val="auto"/>
        <w:rPr>
          <w:rFonts w:hint="eastAsia" w:eastAsia="方正仿宋_GBK"/>
          <w:color w:val="000000" w:themeColor="text1"/>
          <w:sz w:val="32"/>
          <w:szCs w:val="32"/>
          <w:lang w:val="en-US"/>
          <w14:textFill>
            <w14:solidFill>
              <w14:schemeClr w14:val="tx1"/>
            </w14:solidFill>
          </w14:textFill>
        </w:rPr>
        <w:sectPr>
          <w:footerReference r:id="rId3" w:type="default"/>
          <w:type w:val="continuous"/>
          <w:pgSz w:w="11906" w:h="16838"/>
          <w:pgMar w:top="1984" w:right="1587" w:bottom="1984" w:left="1587" w:header="851" w:footer="992" w:gutter="0"/>
          <w:cols w:space="425" w:num="1"/>
          <w:docGrid w:type="lines" w:linePitch="312" w:charSpace="0"/>
        </w:sectPr>
      </w:pPr>
    </w:p>
    <w:p>
      <w:pPr>
        <w:pStyle w:val="3"/>
        <w:numPr>
          <w:ilvl w:val="255"/>
          <w:numId w:val="0"/>
        </w:numPr>
        <w:jc w:val="both"/>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附：选题申报单位简介</w:t>
      </w:r>
    </w:p>
    <w:p>
      <w:pPr>
        <w:spacing w:line="520" w:lineRule="exact"/>
        <w:ind w:firstLine="640" w:firstLineChars="200"/>
        <w:jc w:val="both"/>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青岛动保国家工程技术研究中心有限公司是依托国家动物用保健工程技术研究中心（以下简称工程中心）成立的科技服务型公司。公司属于高新技术企业、山东省新型研发机构，拥有</w:t>
      </w:r>
      <w:r>
        <w:rPr>
          <w:rFonts w:eastAsia="方正仿宋_GBK"/>
          <w:color w:val="000000" w:themeColor="text1"/>
          <w:sz w:val="32"/>
          <w:szCs w:val="32"/>
          <w:lang w:val="en-US"/>
          <w14:textFill>
            <w14:solidFill>
              <w14:schemeClr w14:val="tx1"/>
            </w14:solidFill>
          </w14:textFill>
        </w:rPr>
        <w:t>CMA/GCP/CNAS/CATL</w:t>
      </w:r>
      <w:r>
        <w:rPr>
          <w:rFonts w:hint="eastAsia" w:eastAsia="方正仿宋_GBK"/>
          <w:color w:val="000000" w:themeColor="text1"/>
          <w:sz w:val="32"/>
          <w:szCs w:val="32"/>
          <w:lang w:val="en-US"/>
          <w14:textFill>
            <w14:solidFill>
              <w14:schemeClr w14:val="tx1"/>
            </w14:solidFill>
          </w14:textFill>
        </w:rPr>
        <w:t>资质。公司建有完善的新兽药研发体系、技术创新服务体系、以及第三方检测服务体系，主要从事动物专用原料药、高新制剂、天然植物药、生物制品、生物添加剂等新产品的研发及产业化。公司拥有国家千人计划领衔的</w:t>
      </w:r>
      <w:r>
        <w:rPr>
          <w:rFonts w:eastAsia="方正仿宋_GBK"/>
          <w:color w:val="000000" w:themeColor="text1"/>
          <w:sz w:val="32"/>
          <w:szCs w:val="32"/>
          <w:lang w:val="en-US"/>
          <w14:textFill>
            <w14:solidFill>
              <w14:schemeClr w14:val="tx1"/>
            </w14:solidFill>
          </w14:textFill>
        </w:rPr>
        <w:t>57</w:t>
      </w:r>
      <w:r>
        <w:rPr>
          <w:rFonts w:hint="eastAsia" w:eastAsia="方正仿宋_GBK"/>
          <w:color w:val="000000" w:themeColor="text1"/>
          <w:sz w:val="32"/>
          <w:szCs w:val="32"/>
          <w:lang w:val="en-US"/>
          <w14:textFill>
            <w14:solidFill>
              <w14:schemeClr w14:val="tx1"/>
            </w14:solidFill>
          </w14:textFill>
        </w:rPr>
        <w:t>人的科研团队，包括泰山产业领军人才</w:t>
      </w:r>
      <w:r>
        <w:rPr>
          <w:rFonts w:eastAsia="方正仿宋_GBK"/>
          <w:color w:val="000000" w:themeColor="text1"/>
          <w:sz w:val="32"/>
          <w:szCs w:val="32"/>
          <w:lang w:val="en-US"/>
          <w14:textFill>
            <w14:solidFill>
              <w14:schemeClr w14:val="tx1"/>
            </w14:solidFill>
          </w14:textFill>
        </w:rPr>
        <w:t>1</w:t>
      </w:r>
      <w:r>
        <w:rPr>
          <w:rFonts w:hint="eastAsia" w:eastAsia="方正仿宋_GBK"/>
          <w:color w:val="000000" w:themeColor="text1"/>
          <w:sz w:val="32"/>
          <w:szCs w:val="32"/>
          <w:lang w:val="en-US"/>
          <w14:textFill>
            <w14:solidFill>
              <w14:schemeClr w14:val="tx1"/>
            </w14:solidFill>
          </w14:textFill>
        </w:rPr>
        <w:t>名，青岛市产业领军人才</w:t>
      </w:r>
      <w:r>
        <w:rPr>
          <w:rFonts w:eastAsia="方正仿宋_GBK"/>
          <w:color w:val="000000" w:themeColor="text1"/>
          <w:sz w:val="32"/>
          <w:szCs w:val="32"/>
          <w:lang w:val="en-US"/>
          <w14:textFill>
            <w14:solidFill>
              <w14:schemeClr w14:val="tx1"/>
            </w14:solidFill>
          </w14:textFill>
        </w:rPr>
        <w:t>3</w:t>
      </w:r>
      <w:r>
        <w:rPr>
          <w:rFonts w:hint="eastAsia" w:eastAsia="方正仿宋_GBK"/>
          <w:color w:val="000000" w:themeColor="text1"/>
          <w:sz w:val="32"/>
          <w:szCs w:val="32"/>
          <w:lang w:val="en-US"/>
          <w14:textFill>
            <w14:solidFill>
              <w14:schemeClr w14:val="tx1"/>
            </w14:solidFill>
          </w14:textFill>
        </w:rPr>
        <w:t>人，其中博士</w:t>
      </w:r>
      <w:r>
        <w:rPr>
          <w:rFonts w:eastAsia="方正仿宋_GBK"/>
          <w:color w:val="000000" w:themeColor="text1"/>
          <w:sz w:val="32"/>
          <w:szCs w:val="32"/>
          <w:lang w:val="en-US"/>
          <w14:textFill>
            <w14:solidFill>
              <w14:schemeClr w14:val="tx1"/>
            </w14:solidFill>
          </w14:textFill>
        </w:rPr>
        <w:t>8</w:t>
      </w:r>
      <w:r>
        <w:rPr>
          <w:rFonts w:hint="eastAsia" w:eastAsia="方正仿宋_GBK"/>
          <w:color w:val="000000" w:themeColor="text1"/>
          <w:sz w:val="32"/>
          <w:szCs w:val="32"/>
          <w:lang w:val="en-US"/>
          <w14:textFill>
            <w14:solidFill>
              <w14:schemeClr w14:val="tx1"/>
            </w14:solidFill>
          </w14:textFill>
        </w:rPr>
        <w:t>名，硕士</w:t>
      </w:r>
      <w:r>
        <w:rPr>
          <w:rFonts w:eastAsia="方正仿宋_GBK"/>
          <w:color w:val="000000" w:themeColor="text1"/>
          <w:sz w:val="32"/>
          <w:szCs w:val="32"/>
          <w:lang w:val="en-US"/>
          <w14:textFill>
            <w14:solidFill>
              <w14:schemeClr w14:val="tx1"/>
            </w14:solidFill>
          </w14:textFill>
        </w:rPr>
        <w:t>35</w:t>
      </w:r>
      <w:r>
        <w:rPr>
          <w:rFonts w:hint="eastAsia" w:eastAsia="方正仿宋_GBK"/>
          <w:color w:val="000000" w:themeColor="text1"/>
          <w:sz w:val="32"/>
          <w:szCs w:val="32"/>
          <w:lang w:val="en-US"/>
          <w14:textFill>
            <w14:solidFill>
              <w14:schemeClr w14:val="tx1"/>
            </w14:solidFill>
          </w14:textFill>
        </w:rPr>
        <w:t>名，年龄结构合理，专业结构匹配，业务配置合理。</w:t>
      </w:r>
      <w:r>
        <w:rPr>
          <w:rFonts w:eastAsia="方正仿宋_GBK"/>
          <w:color w:val="000000" w:themeColor="text1"/>
          <w:sz w:val="32"/>
          <w:szCs w:val="32"/>
          <w:lang w:val="en-US"/>
          <w14:textFill>
            <w14:solidFill>
              <w14:schemeClr w14:val="tx1"/>
            </w14:solidFill>
          </w14:textFill>
        </w:rPr>
        <w:t>2022</w:t>
      </w:r>
      <w:r>
        <w:rPr>
          <w:rFonts w:hint="eastAsia" w:eastAsia="方正仿宋_GBK"/>
          <w:color w:val="000000" w:themeColor="text1"/>
          <w:sz w:val="32"/>
          <w:szCs w:val="32"/>
          <w:lang w:val="en-US"/>
          <w14:textFill>
            <w14:solidFill>
              <w14:schemeClr w14:val="tx1"/>
            </w14:solidFill>
          </w14:textFill>
        </w:rPr>
        <w:t>年公司聘用国家青年千人</w:t>
      </w:r>
      <w:r>
        <w:rPr>
          <w:rFonts w:eastAsia="方正仿宋_GBK"/>
          <w:color w:val="000000" w:themeColor="text1"/>
          <w:sz w:val="32"/>
          <w:szCs w:val="32"/>
          <w:lang w:val="en-US"/>
          <w14:textFill>
            <w14:solidFill>
              <w14:schemeClr w14:val="tx1"/>
            </w14:solidFill>
          </w14:textFill>
        </w:rPr>
        <w:t>1</w:t>
      </w:r>
      <w:r>
        <w:rPr>
          <w:rFonts w:hint="eastAsia" w:eastAsia="方正仿宋_GBK"/>
          <w:color w:val="000000" w:themeColor="text1"/>
          <w:sz w:val="32"/>
          <w:szCs w:val="32"/>
          <w:lang w:val="en-US"/>
          <w14:textFill>
            <w14:solidFill>
              <w14:schemeClr w14:val="tx1"/>
            </w14:solidFill>
          </w14:textFill>
        </w:rPr>
        <w:t>名、引进海外人才</w:t>
      </w:r>
      <w:r>
        <w:rPr>
          <w:rFonts w:eastAsia="方正仿宋_GBK"/>
          <w:color w:val="000000" w:themeColor="text1"/>
          <w:sz w:val="32"/>
          <w:szCs w:val="32"/>
          <w:lang w:val="en-US"/>
          <w14:textFill>
            <w14:solidFill>
              <w14:schemeClr w14:val="tx1"/>
            </w14:solidFill>
          </w14:textFill>
        </w:rPr>
        <w:t>2</w:t>
      </w:r>
      <w:r>
        <w:rPr>
          <w:rFonts w:hint="eastAsia" w:eastAsia="方正仿宋_GBK"/>
          <w:color w:val="000000" w:themeColor="text1"/>
          <w:sz w:val="32"/>
          <w:szCs w:val="32"/>
          <w:lang w:val="en-US"/>
          <w14:textFill>
            <w14:solidFill>
              <w14:schemeClr w14:val="tx1"/>
            </w14:solidFill>
          </w14:textFill>
        </w:rPr>
        <w:t>名、省级人才专家</w:t>
      </w:r>
      <w:r>
        <w:rPr>
          <w:rFonts w:eastAsia="方正仿宋_GBK"/>
          <w:color w:val="000000" w:themeColor="text1"/>
          <w:sz w:val="32"/>
          <w:szCs w:val="32"/>
          <w:lang w:val="en-US"/>
          <w14:textFill>
            <w14:solidFill>
              <w14:schemeClr w14:val="tx1"/>
            </w14:solidFill>
          </w14:textFill>
        </w:rPr>
        <w:t>2</w:t>
      </w:r>
      <w:r>
        <w:rPr>
          <w:rFonts w:hint="eastAsia" w:eastAsia="方正仿宋_GBK"/>
          <w:color w:val="000000" w:themeColor="text1"/>
          <w:sz w:val="32"/>
          <w:szCs w:val="32"/>
          <w:lang w:val="en-US"/>
          <w14:textFill>
            <w14:solidFill>
              <w14:schemeClr w14:val="tx1"/>
            </w14:solidFill>
          </w14:textFill>
        </w:rPr>
        <w:t>名。公司注重整合技术资源，与南京农业大学、中国科学院微生物研究所、中国农科院上海兽医研究所等</w:t>
      </w:r>
      <w:r>
        <w:rPr>
          <w:rFonts w:eastAsia="方正仿宋_GBK"/>
          <w:color w:val="000000" w:themeColor="text1"/>
          <w:sz w:val="32"/>
          <w:szCs w:val="32"/>
          <w:lang w:val="en-US"/>
          <w14:textFill>
            <w14:solidFill>
              <w14:schemeClr w14:val="tx1"/>
            </w14:solidFill>
          </w14:textFill>
        </w:rPr>
        <w:t>42</w:t>
      </w:r>
      <w:r>
        <w:rPr>
          <w:rFonts w:hint="eastAsia" w:eastAsia="方正仿宋_GBK"/>
          <w:color w:val="000000" w:themeColor="text1"/>
          <w:sz w:val="32"/>
          <w:szCs w:val="32"/>
          <w:lang w:val="en-US"/>
          <w14:textFill>
            <w14:solidFill>
              <w14:schemeClr w14:val="tx1"/>
            </w14:solidFill>
          </w14:textFill>
        </w:rPr>
        <w:t>家高校和科研院所建立紧密的合作关系。</w:t>
      </w:r>
    </w:p>
    <w:p>
      <w:pPr>
        <w:spacing w:line="520" w:lineRule="exact"/>
        <w:ind w:firstLine="640" w:firstLineChars="200"/>
        <w:jc w:val="both"/>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公司通过前期介入、合作研发、技术转移、成果共享等方式，将实验室成果转化成市场需要的产品，积极推进成果的工程化、市场化、社会化。先后接待</w:t>
      </w:r>
      <w:r>
        <w:rPr>
          <w:rFonts w:eastAsia="方正仿宋_GBK"/>
          <w:color w:val="000000" w:themeColor="text1"/>
          <w:sz w:val="32"/>
          <w:szCs w:val="32"/>
          <w:lang w:val="en-US"/>
          <w14:textFill>
            <w14:solidFill>
              <w14:schemeClr w14:val="tx1"/>
            </w14:solidFill>
          </w14:textFill>
        </w:rPr>
        <w:t>300</w:t>
      </w:r>
      <w:r>
        <w:rPr>
          <w:rFonts w:hint="eastAsia" w:eastAsia="方正仿宋_GBK"/>
          <w:color w:val="000000" w:themeColor="text1"/>
          <w:sz w:val="32"/>
          <w:szCs w:val="32"/>
          <w:lang w:val="en-US"/>
          <w14:textFill>
            <w14:solidFill>
              <w14:schemeClr w14:val="tx1"/>
            </w14:solidFill>
          </w14:textFill>
        </w:rPr>
        <w:t>余家企业来访交流，与</w:t>
      </w:r>
      <w:r>
        <w:rPr>
          <w:rFonts w:eastAsia="方正仿宋_GBK"/>
          <w:color w:val="000000" w:themeColor="text1"/>
          <w:sz w:val="32"/>
          <w:szCs w:val="32"/>
          <w:lang w:val="en-US"/>
          <w14:textFill>
            <w14:solidFill>
              <w14:schemeClr w14:val="tx1"/>
            </w14:solidFill>
          </w14:textFill>
        </w:rPr>
        <w:t>18</w:t>
      </w:r>
      <w:r>
        <w:rPr>
          <w:rFonts w:hint="eastAsia" w:eastAsia="方正仿宋_GBK"/>
          <w:color w:val="000000" w:themeColor="text1"/>
          <w:sz w:val="32"/>
          <w:szCs w:val="32"/>
          <w:lang w:val="en-US"/>
          <w14:textFill>
            <w14:solidFill>
              <w14:schemeClr w14:val="tx1"/>
            </w14:solidFill>
          </w14:textFill>
        </w:rPr>
        <w:t>个省市</w:t>
      </w:r>
      <w:r>
        <w:rPr>
          <w:rFonts w:eastAsia="方正仿宋_GBK"/>
          <w:color w:val="000000" w:themeColor="text1"/>
          <w:sz w:val="32"/>
          <w:szCs w:val="32"/>
          <w:lang w:val="en-US"/>
          <w14:textFill>
            <w14:solidFill>
              <w14:schemeClr w14:val="tx1"/>
            </w14:solidFill>
          </w14:textFill>
        </w:rPr>
        <w:t>120</w:t>
      </w:r>
      <w:r>
        <w:rPr>
          <w:rFonts w:hint="eastAsia" w:eastAsia="方正仿宋_GBK"/>
          <w:color w:val="000000" w:themeColor="text1"/>
          <w:sz w:val="32"/>
          <w:szCs w:val="32"/>
          <w:lang w:val="en-US"/>
          <w14:textFill>
            <w14:solidFill>
              <w14:schemeClr w14:val="tx1"/>
            </w14:solidFill>
          </w14:textFill>
        </w:rPr>
        <w:t>余家企业签订了技术转让合同，累计合同金额约</w:t>
      </w:r>
      <w:r>
        <w:rPr>
          <w:rFonts w:eastAsia="方正仿宋_GBK"/>
          <w:color w:val="000000" w:themeColor="text1"/>
          <w:sz w:val="32"/>
          <w:szCs w:val="32"/>
          <w:lang w:val="en-US"/>
          <w14:textFill>
            <w14:solidFill>
              <w14:schemeClr w14:val="tx1"/>
            </w14:solidFill>
          </w14:textFill>
        </w:rPr>
        <w:t>1.15</w:t>
      </w:r>
      <w:r>
        <w:rPr>
          <w:rFonts w:hint="eastAsia" w:eastAsia="方正仿宋_GBK"/>
          <w:color w:val="000000" w:themeColor="text1"/>
          <w:sz w:val="32"/>
          <w:szCs w:val="32"/>
          <w:lang w:val="en-US"/>
          <w14:textFill>
            <w14:solidFill>
              <w14:schemeClr w14:val="tx1"/>
            </w14:solidFill>
          </w14:textFill>
        </w:rPr>
        <w:t>亿元，新产品转化给合作客户带来的直接收益达到</w:t>
      </w:r>
      <w:r>
        <w:rPr>
          <w:rFonts w:eastAsia="方正仿宋_GBK"/>
          <w:color w:val="000000" w:themeColor="text1"/>
          <w:sz w:val="32"/>
          <w:szCs w:val="32"/>
          <w:lang w:val="en-US"/>
          <w14:textFill>
            <w14:solidFill>
              <w14:schemeClr w14:val="tx1"/>
            </w14:solidFill>
          </w14:textFill>
        </w:rPr>
        <w:t>50</w:t>
      </w:r>
      <w:r>
        <w:rPr>
          <w:rFonts w:hint="eastAsia" w:eastAsia="方正仿宋_GBK"/>
          <w:color w:val="000000" w:themeColor="text1"/>
          <w:sz w:val="32"/>
          <w:szCs w:val="32"/>
          <w:lang w:val="en-US"/>
          <w14:textFill>
            <w14:solidFill>
              <w14:schemeClr w14:val="tx1"/>
            </w14:solidFill>
          </w14:textFill>
        </w:rPr>
        <w:t>亿元。目前公司在研及注册新兽药</w:t>
      </w:r>
      <w:r>
        <w:rPr>
          <w:rFonts w:eastAsia="方正仿宋_GBK"/>
          <w:color w:val="000000" w:themeColor="text1"/>
          <w:sz w:val="32"/>
          <w:szCs w:val="32"/>
          <w:lang w:val="en-US"/>
          <w14:textFill>
            <w14:solidFill>
              <w14:schemeClr w14:val="tx1"/>
            </w14:solidFill>
          </w14:textFill>
        </w:rPr>
        <w:t>40</w:t>
      </w:r>
      <w:r>
        <w:rPr>
          <w:rFonts w:hint="eastAsia" w:eastAsia="方正仿宋_GBK"/>
          <w:color w:val="000000" w:themeColor="text1"/>
          <w:sz w:val="32"/>
          <w:szCs w:val="32"/>
          <w:lang w:val="en-US"/>
          <w14:textFill>
            <w14:solidFill>
              <w14:schemeClr w14:val="tx1"/>
            </w14:solidFill>
          </w14:textFill>
        </w:rPr>
        <w:t>余项。</w:t>
      </w:r>
    </w:p>
    <w:p>
      <w:pPr>
        <w:spacing w:line="520" w:lineRule="exact"/>
        <w:ind w:firstLine="640" w:firstLineChars="200"/>
        <w:jc w:val="both"/>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公司近年突破多项技术瓶颈，研发和注册了一系列禽用、猪用和宠物用疫苗产品。其中部分疫苗项目于</w:t>
      </w:r>
      <w:r>
        <w:rPr>
          <w:rFonts w:eastAsia="方正仿宋_GBK"/>
          <w:color w:val="000000" w:themeColor="text1"/>
          <w:sz w:val="32"/>
          <w:szCs w:val="32"/>
          <w:lang w:val="en-US"/>
          <w14:textFill>
            <w14:solidFill>
              <w14:schemeClr w14:val="tx1"/>
            </w14:solidFill>
          </w14:textFill>
        </w:rPr>
        <w:t>2021</w:t>
      </w:r>
      <w:r>
        <w:rPr>
          <w:rFonts w:hint="eastAsia" w:eastAsia="方正仿宋_GBK"/>
          <w:color w:val="000000" w:themeColor="text1"/>
          <w:sz w:val="32"/>
          <w:szCs w:val="32"/>
          <w:lang w:val="en-US"/>
          <w14:textFill>
            <w14:solidFill>
              <w14:schemeClr w14:val="tx1"/>
            </w14:solidFill>
          </w14:textFill>
        </w:rPr>
        <w:t>年获得农业农村部新兽用生物制品临床批件，产品累计转让金额</w:t>
      </w:r>
      <w:r>
        <w:rPr>
          <w:rFonts w:eastAsia="方正仿宋_GBK"/>
          <w:color w:val="000000" w:themeColor="text1"/>
          <w:sz w:val="32"/>
          <w:szCs w:val="32"/>
          <w:lang w:val="en-US"/>
          <w14:textFill>
            <w14:solidFill>
              <w14:schemeClr w14:val="tx1"/>
            </w14:solidFill>
          </w14:textFill>
        </w:rPr>
        <w:t>6000</w:t>
      </w:r>
      <w:r>
        <w:rPr>
          <w:rFonts w:hint="eastAsia" w:eastAsia="方正仿宋_GBK"/>
          <w:color w:val="000000" w:themeColor="text1"/>
          <w:sz w:val="32"/>
          <w:szCs w:val="32"/>
          <w:lang w:val="en-US"/>
          <w14:textFill>
            <w14:solidFill>
              <w14:schemeClr w14:val="tx1"/>
            </w14:solidFill>
          </w14:textFill>
        </w:rPr>
        <w:t>万元。</w:t>
      </w:r>
    </w:p>
    <w:sectPr>
      <w:pgSz w:w="11906" w:h="16838"/>
      <w:pgMar w:top="1984" w:right="1587"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简体">
    <w:panose1 w:val="02000000000000000000"/>
    <w:charset w:val="86"/>
    <w:family w:val="auto"/>
    <w:pitch w:val="default"/>
    <w:sig w:usb0="A00002BF" w:usb1="184F6CFA" w:usb2="00000012" w:usb3="00000000" w:csb0="00040001" w:csb1="00000000"/>
  </w:font>
  <w:font w:name="方正仿宋楷体">
    <w:altName w:val="仿宋"/>
    <w:panose1 w:val="00000000000000000000"/>
    <w:charset w:val="00"/>
    <w:family w:val="auto"/>
    <w:pitch w:val="default"/>
    <w:sig w:usb0="00000000" w:usb1="00000000" w:usb2="00000000" w:usb3="00000000" w:csb0="00000000" w:csb1="00000000"/>
  </w:font>
  <w:font w:name="方正楷体简体">
    <w:panose1 w:val="02000000000000000000"/>
    <w:charset w:val="86"/>
    <w:family w:val="auto"/>
    <w:pitch w:val="default"/>
    <w:sig w:usb0="A00002BF" w:usb1="184F6CFA" w:usb2="00000012" w:usb3="00000000" w:csb0="00040001" w:csb1="00000000"/>
  </w:font>
  <w:font w:name="等线">
    <w:panose1 w:val="02010600030101010101"/>
    <w:charset w:val="86"/>
    <w:family w:val="auto"/>
    <w:pitch w:val="default"/>
    <w:sig w:usb0="A00002BF" w:usb1="38CF7CFA" w:usb2="00000016" w:usb3="00000000" w:csb0="0004000F" w:csb1="00000000"/>
  </w:font>
  <w:font w:name="方正楷体_GBK">
    <w:panose1 w:val="02000000000000000000"/>
    <w:charset w:val="86"/>
    <w:family w:val="script"/>
    <w:pitch w:val="default"/>
    <w:sig w:usb0="A00002BF" w:usb1="38CF7CFA" w:usb2="00082016" w:usb3="00000000" w:csb0="00040001" w:csb1="00000000"/>
  </w:font>
  <w:font w:name="方正大标宋_GBK">
    <w:panose1 w:val="03000509000000000000"/>
    <w:charset w:val="86"/>
    <w:family w:val="script"/>
    <w:pitch w:val="default"/>
    <w:sig w:usb0="00000001" w:usb1="080E0000" w:usb2="00000000" w:usb3="00000000" w:csb0="00040000" w:csb1="00000000"/>
  </w:font>
  <w:font w:name="方正黑体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92451401"/>
      <w:docPartObj>
        <w:docPartGallery w:val="autotext"/>
      </w:docPartObj>
    </w:sdtPr>
    <w:sdtEndPr>
      <w:rPr>
        <w:rFonts w:ascii="Times New Roman" w:hAnsi="Times New Roman" w:cs="Times New Roman"/>
        <w:sz w:val="24"/>
        <w:szCs w:val="24"/>
      </w:rPr>
    </w:sdtEndPr>
    <w:sdtContent>
      <w:p>
        <w:pPr>
          <w:pStyle w:val="6"/>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2</w:t>
        </w:r>
        <w:r>
          <w:rPr>
            <w:rFonts w:ascii="Times New Roman" w:hAnsi="Times New Roman" w:cs="Times New Roman"/>
            <w:sz w:val="24"/>
            <w:szCs w:val="24"/>
          </w:rP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CACFCB"/>
    <w:multiLevelType w:val="singleLevel"/>
    <w:tmpl w:val="8BCACFCB"/>
    <w:lvl w:ilvl="0" w:tentative="0">
      <w:start w:val="1"/>
      <w:numFmt w:val="decimal"/>
      <w:suff w:val="space"/>
      <w:lvlText w:val="%1."/>
      <w:lvlJc w:val="left"/>
      <w:pPr>
        <w:ind w:left="454" w:hanging="454"/>
      </w:pPr>
      <w:rPr>
        <w:rFonts w:hint="default"/>
      </w:rPr>
    </w:lvl>
  </w:abstractNum>
  <w:abstractNum w:abstractNumId="1">
    <w:nsid w:val="BE508F7C"/>
    <w:multiLevelType w:val="singleLevel"/>
    <w:tmpl w:val="BE508F7C"/>
    <w:lvl w:ilvl="0" w:tentative="0">
      <w:start w:val="1"/>
      <w:numFmt w:val="decimal"/>
      <w:suff w:val="space"/>
      <w:lvlText w:val="（%1）"/>
      <w:lvlJc w:val="left"/>
    </w:lvl>
  </w:abstractNum>
  <w:abstractNum w:abstractNumId="2">
    <w:nsid w:val="EF1D2CD3"/>
    <w:multiLevelType w:val="singleLevel"/>
    <w:tmpl w:val="EF1D2CD3"/>
    <w:lvl w:ilvl="0" w:tentative="0">
      <w:start w:val="1"/>
      <w:numFmt w:val="chineseCounting"/>
      <w:pStyle w:val="3"/>
      <w:suff w:val="nothing"/>
      <w:lvlText w:val="%1、"/>
      <w:lvlJc w:val="left"/>
      <w:pPr>
        <w:ind w:left="147" w:firstLine="420"/>
      </w:pPr>
      <w:rPr>
        <w:rFonts w:hint="eastAsia"/>
      </w:rPr>
    </w:lvl>
  </w:abstractNum>
  <w:abstractNum w:abstractNumId="3">
    <w:nsid w:val="1C0CFABB"/>
    <w:multiLevelType w:val="singleLevel"/>
    <w:tmpl w:val="1C0CFABB"/>
    <w:lvl w:ilvl="0" w:tentative="0">
      <w:start w:val="1"/>
      <w:numFmt w:val="decimal"/>
      <w:suff w:val="space"/>
      <w:lvlText w:val="（%1）"/>
      <w:lvlJc w:val="left"/>
    </w:lvl>
  </w:abstractNum>
  <w:abstractNum w:abstractNumId="4">
    <w:nsid w:val="52994999"/>
    <w:multiLevelType w:val="singleLevel"/>
    <w:tmpl w:val="52994999"/>
    <w:lvl w:ilvl="0" w:tentative="0">
      <w:start w:val="1"/>
      <w:numFmt w:val="decimal"/>
      <w:pStyle w:val="4"/>
      <w:suff w:val="space"/>
      <w:lvlText w:val="%1."/>
      <w:lvlJc w:val="left"/>
      <w:pPr>
        <w:ind w:left="454" w:hanging="454"/>
      </w:pPr>
      <w:rPr>
        <w:rFonts w:hint="default" w:eastAsia="方正仿宋楷体"/>
        <w:sz w:val="32"/>
        <w:szCs w:val="32"/>
      </w:rPr>
    </w:lvl>
  </w:abstractNum>
  <w:abstractNum w:abstractNumId="5">
    <w:nsid w:val="53FCF9C3"/>
    <w:multiLevelType w:val="singleLevel"/>
    <w:tmpl w:val="53FCF9C3"/>
    <w:lvl w:ilvl="0" w:tentative="0">
      <w:start w:val="1"/>
      <w:numFmt w:val="decimal"/>
      <w:suff w:val="space"/>
      <w:lvlText w:val="（%1）"/>
      <w:lvlJc w:val="left"/>
    </w:lvl>
  </w:abstractNum>
  <w:num w:numId="1">
    <w:abstractNumId w:val="2"/>
  </w:num>
  <w:num w:numId="2">
    <w:abstractNumId w:val="4"/>
  </w:num>
  <w:num w:numId="3">
    <w:abstractNumId w:val="0"/>
  </w:num>
  <w:num w:numId="4">
    <w:abstractNumId w:val="3"/>
  </w:num>
  <w:num w:numId="5">
    <w:abstractNumId w:val="5"/>
  </w:num>
  <w:num w:numId="6">
    <w:abstractNumId w:val="4"/>
    <w:lvlOverride w:ilvl="0">
      <w:startOverride w:val="1"/>
    </w:lvlOverride>
  </w:num>
  <w:num w:numId="7">
    <w:abstractNumId w:val="1"/>
  </w:num>
  <w:num w:numId="8">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NjYTY2M2Q0MTc3OGEyNGI0ZDBlMmI4OGRlOTE5NDQifQ=="/>
  </w:docVars>
  <w:rsids>
    <w:rsidRoot w:val="008769EE"/>
    <w:rsid w:val="000024AF"/>
    <w:rsid w:val="00005D1C"/>
    <w:rsid w:val="00017E5B"/>
    <w:rsid w:val="00021C1D"/>
    <w:rsid w:val="00057714"/>
    <w:rsid w:val="000626B0"/>
    <w:rsid w:val="00064968"/>
    <w:rsid w:val="00075C5A"/>
    <w:rsid w:val="0007624A"/>
    <w:rsid w:val="000A6775"/>
    <w:rsid w:val="000D57EF"/>
    <w:rsid w:val="00100683"/>
    <w:rsid w:val="0010211D"/>
    <w:rsid w:val="00102183"/>
    <w:rsid w:val="0011069F"/>
    <w:rsid w:val="00111E5D"/>
    <w:rsid w:val="00120156"/>
    <w:rsid w:val="0013183F"/>
    <w:rsid w:val="001367A9"/>
    <w:rsid w:val="00143054"/>
    <w:rsid w:val="001579F2"/>
    <w:rsid w:val="00164C26"/>
    <w:rsid w:val="0016564C"/>
    <w:rsid w:val="001B0D74"/>
    <w:rsid w:val="001B2C6C"/>
    <w:rsid w:val="001C0DFA"/>
    <w:rsid w:val="001D0729"/>
    <w:rsid w:val="001E760D"/>
    <w:rsid w:val="001E77C2"/>
    <w:rsid w:val="001F6CC8"/>
    <w:rsid w:val="0020086A"/>
    <w:rsid w:val="00205E3B"/>
    <w:rsid w:val="00206468"/>
    <w:rsid w:val="00236E3E"/>
    <w:rsid w:val="002560B0"/>
    <w:rsid w:val="00281AE9"/>
    <w:rsid w:val="00283877"/>
    <w:rsid w:val="002938E3"/>
    <w:rsid w:val="002A57E9"/>
    <w:rsid w:val="002B0D40"/>
    <w:rsid w:val="002B6DDC"/>
    <w:rsid w:val="002E7BFD"/>
    <w:rsid w:val="002F7D9C"/>
    <w:rsid w:val="00341051"/>
    <w:rsid w:val="00351403"/>
    <w:rsid w:val="00352C5C"/>
    <w:rsid w:val="00352EAA"/>
    <w:rsid w:val="00354FAF"/>
    <w:rsid w:val="00361F8E"/>
    <w:rsid w:val="00363E2D"/>
    <w:rsid w:val="00371816"/>
    <w:rsid w:val="00392185"/>
    <w:rsid w:val="0039481F"/>
    <w:rsid w:val="003B59A7"/>
    <w:rsid w:val="003B5D12"/>
    <w:rsid w:val="003B6C68"/>
    <w:rsid w:val="003B786C"/>
    <w:rsid w:val="003E007F"/>
    <w:rsid w:val="003E2852"/>
    <w:rsid w:val="003E42F9"/>
    <w:rsid w:val="00403615"/>
    <w:rsid w:val="00405B32"/>
    <w:rsid w:val="00407F26"/>
    <w:rsid w:val="0041464C"/>
    <w:rsid w:val="0044592C"/>
    <w:rsid w:val="00463782"/>
    <w:rsid w:val="00471974"/>
    <w:rsid w:val="00476A7D"/>
    <w:rsid w:val="00483410"/>
    <w:rsid w:val="004876C3"/>
    <w:rsid w:val="00494F44"/>
    <w:rsid w:val="00496D3E"/>
    <w:rsid w:val="004A0A91"/>
    <w:rsid w:val="004B00B4"/>
    <w:rsid w:val="004B01E5"/>
    <w:rsid w:val="004B6FF1"/>
    <w:rsid w:val="004D0FC5"/>
    <w:rsid w:val="004F30AF"/>
    <w:rsid w:val="004F3DC9"/>
    <w:rsid w:val="00517736"/>
    <w:rsid w:val="00532B4E"/>
    <w:rsid w:val="005333BA"/>
    <w:rsid w:val="00537F15"/>
    <w:rsid w:val="005503BF"/>
    <w:rsid w:val="00553DCC"/>
    <w:rsid w:val="00554C5C"/>
    <w:rsid w:val="005753FB"/>
    <w:rsid w:val="00577641"/>
    <w:rsid w:val="00580524"/>
    <w:rsid w:val="00585CAC"/>
    <w:rsid w:val="005944CA"/>
    <w:rsid w:val="005A1799"/>
    <w:rsid w:val="005A5BBF"/>
    <w:rsid w:val="005C1AAC"/>
    <w:rsid w:val="005D33E1"/>
    <w:rsid w:val="005E0F11"/>
    <w:rsid w:val="005F54A1"/>
    <w:rsid w:val="00603AF5"/>
    <w:rsid w:val="006047E7"/>
    <w:rsid w:val="00606DA8"/>
    <w:rsid w:val="00613673"/>
    <w:rsid w:val="00613AAA"/>
    <w:rsid w:val="006226BA"/>
    <w:rsid w:val="00633F6B"/>
    <w:rsid w:val="00636F96"/>
    <w:rsid w:val="00663468"/>
    <w:rsid w:val="0066573D"/>
    <w:rsid w:val="0068166A"/>
    <w:rsid w:val="006977C0"/>
    <w:rsid w:val="006A3A6E"/>
    <w:rsid w:val="006A51DF"/>
    <w:rsid w:val="006C3959"/>
    <w:rsid w:val="006C732F"/>
    <w:rsid w:val="006E6DDA"/>
    <w:rsid w:val="007216F0"/>
    <w:rsid w:val="0073249A"/>
    <w:rsid w:val="00746651"/>
    <w:rsid w:val="00765C33"/>
    <w:rsid w:val="00777C79"/>
    <w:rsid w:val="007879EC"/>
    <w:rsid w:val="007B1EF3"/>
    <w:rsid w:val="007F195A"/>
    <w:rsid w:val="00805D49"/>
    <w:rsid w:val="00816F55"/>
    <w:rsid w:val="00825FD8"/>
    <w:rsid w:val="008313DD"/>
    <w:rsid w:val="008321B0"/>
    <w:rsid w:val="00842790"/>
    <w:rsid w:val="00851D22"/>
    <w:rsid w:val="00854E78"/>
    <w:rsid w:val="00860FD3"/>
    <w:rsid w:val="008669B5"/>
    <w:rsid w:val="00867EEA"/>
    <w:rsid w:val="00872C0C"/>
    <w:rsid w:val="008769EE"/>
    <w:rsid w:val="0088143A"/>
    <w:rsid w:val="008836AC"/>
    <w:rsid w:val="00887D7E"/>
    <w:rsid w:val="0089086B"/>
    <w:rsid w:val="008B04B4"/>
    <w:rsid w:val="008B43EC"/>
    <w:rsid w:val="008C4B94"/>
    <w:rsid w:val="008E3250"/>
    <w:rsid w:val="008E3EE3"/>
    <w:rsid w:val="008F2FB1"/>
    <w:rsid w:val="00912ADC"/>
    <w:rsid w:val="00917F07"/>
    <w:rsid w:val="00923192"/>
    <w:rsid w:val="00931DCA"/>
    <w:rsid w:val="0093518D"/>
    <w:rsid w:val="00937CB6"/>
    <w:rsid w:val="00953BA4"/>
    <w:rsid w:val="00954857"/>
    <w:rsid w:val="009632E8"/>
    <w:rsid w:val="00963C5C"/>
    <w:rsid w:val="00966187"/>
    <w:rsid w:val="00987542"/>
    <w:rsid w:val="00995541"/>
    <w:rsid w:val="00996802"/>
    <w:rsid w:val="009A5F81"/>
    <w:rsid w:val="00A0235C"/>
    <w:rsid w:val="00A02E1F"/>
    <w:rsid w:val="00A22759"/>
    <w:rsid w:val="00A24CE5"/>
    <w:rsid w:val="00A30D68"/>
    <w:rsid w:val="00A31A98"/>
    <w:rsid w:val="00A4232F"/>
    <w:rsid w:val="00A43480"/>
    <w:rsid w:val="00A460CE"/>
    <w:rsid w:val="00AA7BD8"/>
    <w:rsid w:val="00AB1BF4"/>
    <w:rsid w:val="00AD025A"/>
    <w:rsid w:val="00AD24CF"/>
    <w:rsid w:val="00AD6CFA"/>
    <w:rsid w:val="00AE66B7"/>
    <w:rsid w:val="00B0258C"/>
    <w:rsid w:val="00B32E7F"/>
    <w:rsid w:val="00B40CAF"/>
    <w:rsid w:val="00B52CCC"/>
    <w:rsid w:val="00B55910"/>
    <w:rsid w:val="00B70A95"/>
    <w:rsid w:val="00B80EC7"/>
    <w:rsid w:val="00BA70BA"/>
    <w:rsid w:val="00BC1B59"/>
    <w:rsid w:val="00BC5ED9"/>
    <w:rsid w:val="00BE634B"/>
    <w:rsid w:val="00BF4E2D"/>
    <w:rsid w:val="00C217F1"/>
    <w:rsid w:val="00C24C93"/>
    <w:rsid w:val="00C30AF1"/>
    <w:rsid w:val="00C60328"/>
    <w:rsid w:val="00C66ED7"/>
    <w:rsid w:val="00C678B8"/>
    <w:rsid w:val="00C81301"/>
    <w:rsid w:val="00C82B11"/>
    <w:rsid w:val="00C90F03"/>
    <w:rsid w:val="00C97BA0"/>
    <w:rsid w:val="00CA1E1B"/>
    <w:rsid w:val="00CB5FAC"/>
    <w:rsid w:val="00CE569E"/>
    <w:rsid w:val="00D05DE3"/>
    <w:rsid w:val="00D37B37"/>
    <w:rsid w:val="00D474E2"/>
    <w:rsid w:val="00D531BB"/>
    <w:rsid w:val="00D55D40"/>
    <w:rsid w:val="00D64A7B"/>
    <w:rsid w:val="00D71164"/>
    <w:rsid w:val="00D755E0"/>
    <w:rsid w:val="00D8092B"/>
    <w:rsid w:val="00D826F5"/>
    <w:rsid w:val="00D905C1"/>
    <w:rsid w:val="00DA4A6A"/>
    <w:rsid w:val="00DB02D9"/>
    <w:rsid w:val="00DB59F1"/>
    <w:rsid w:val="00DE6299"/>
    <w:rsid w:val="00DF09AA"/>
    <w:rsid w:val="00DF64DF"/>
    <w:rsid w:val="00DF78E0"/>
    <w:rsid w:val="00E01DD4"/>
    <w:rsid w:val="00E02303"/>
    <w:rsid w:val="00E05639"/>
    <w:rsid w:val="00E05E67"/>
    <w:rsid w:val="00E067C4"/>
    <w:rsid w:val="00E13134"/>
    <w:rsid w:val="00E27A88"/>
    <w:rsid w:val="00E30024"/>
    <w:rsid w:val="00E36B7E"/>
    <w:rsid w:val="00E46C70"/>
    <w:rsid w:val="00E47733"/>
    <w:rsid w:val="00E5011B"/>
    <w:rsid w:val="00E524CD"/>
    <w:rsid w:val="00E65FC6"/>
    <w:rsid w:val="00E72C07"/>
    <w:rsid w:val="00E909FD"/>
    <w:rsid w:val="00EA0B44"/>
    <w:rsid w:val="00EA697C"/>
    <w:rsid w:val="00EB1E9B"/>
    <w:rsid w:val="00EB2BDB"/>
    <w:rsid w:val="00EB4B20"/>
    <w:rsid w:val="00ED580C"/>
    <w:rsid w:val="00EF3C50"/>
    <w:rsid w:val="00F063FD"/>
    <w:rsid w:val="00F1317D"/>
    <w:rsid w:val="00F256C4"/>
    <w:rsid w:val="00F26931"/>
    <w:rsid w:val="00F4411E"/>
    <w:rsid w:val="00F57CAE"/>
    <w:rsid w:val="00F70F5B"/>
    <w:rsid w:val="00F74A1C"/>
    <w:rsid w:val="00F75202"/>
    <w:rsid w:val="00F910DA"/>
    <w:rsid w:val="00FA1D99"/>
    <w:rsid w:val="00FA77F5"/>
    <w:rsid w:val="00FD118A"/>
    <w:rsid w:val="00FE0B72"/>
    <w:rsid w:val="00FF5C3F"/>
    <w:rsid w:val="011D4668"/>
    <w:rsid w:val="01AD4814"/>
    <w:rsid w:val="01D25B00"/>
    <w:rsid w:val="01D51F5B"/>
    <w:rsid w:val="02284DC4"/>
    <w:rsid w:val="02481270"/>
    <w:rsid w:val="029E34F5"/>
    <w:rsid w:val="03294FF9"/>
    <w:rsid w:val="03803D68"/>
    <w:rsid w:val="03910A32"/>
    <w:rsid w:val="03FE7196"/>
    <w:rsid w:val="040E5D41"/>
    <w:rsid w:val="043549F2"/>
    <w:rsid w:val="04816A57"/>
    <w:rsid w:val="04853FBB"/>
    <w:rsid w:val="051528EC"/>
    <w:rsid w:val="05185E54"/>
    <w:rsid w:val="05776D66"/>
    <w:rsid w:val="05C978FD"/>
    <w:rsid w:val="05E31242"/>
    <w:rsid w:val="0671705A"/>
    <w:rsid w:val="06732134"/>
    <w:rsid w:val="06F55DEF"/>
    <w:rsid w:val="07463F1D"/>
    <w:rsid w:val="078F2493"/>
    <w:rsid w:val="07901CC5"/>
    <w:rsid w:val="0795514D"/>
    <w:rsid w:val="0840076F"/>
    <w:rsid w:val="08601D96"/>
    <w:rsid w:val="08C25676"/>
    <w:rsid w:val="09644BDE"/>
    <w:rsid w:val="09AA3609"/>
    <w:rsid w:val="0A260073"/>
    <w:rsid w:val="0A8F7AAE"/>
    <w:rsid w:val="0AD671E5"/>
    <w:rsid w:val="0B2B6586"/>
    <w:rsid w:val="0B4A5469"/>
    <w:rsid w:val="0B6B3F04"/>
    <w:rsid w:val="0B6F69F0"/>
    <w:rsid w:val="0B8F177D"/>
    <w:rsid w:val="0C645CC6"/>
    <w:rsid w:val="0C955B7E"/>
    <w:rsid w:val="0CAD1E5B"/>
    <w:rsid w:val="0D09135F"/>
    <w:rsid w:val="0D4764C0"/>
    <w:rsid w:val="0D7E4529"/>
    <w:rsid w:val="0DA54A80"/>
    <w:rsid w:val="0DCF4D92"/>
    <w:rsid w:val="0EDC0AFF"/>
    <w:rsid w:val="0EF0331F"/>
    <w:rsid w:val="0F78357E"/>
    <w:rsid w:val="0FA66A75"/>
    <w:rsid w:val="0FB12E15"/>
    <w:rsid w:val="106C4753"/>
    <w:rsid w:val="10772CDB"/>
    <w:rsid w:val="107A0F05"/>
    <w:rsid w:val="107F47F9"/>
    <w:rsid w:val="10DB3A4D"/>
    <w:rsid w:val="113D4D7B"/>
    <w:rsid w:val="11672B32"/>
    <w:rsid w:val="1178767D"/>
    <w:rsid w:val="11AD4CBD"/>
    <w:rsid w:val="11D96D62"/>
    <w:rsid w:val="120851FE"/>
    <w:rsid w:val="12415B32"/>
    <w:rsid w:val="12647A72"/>
    <w:rsid w:val="12A47462"/>
    <w:rsid w:val="12AB1133"/>
    <w:rsid w:val="12E36BE9"/>
    <w:rsid w:val="13221EE1"/>
    <w:rsid w:val="138059EE"/>
    <w:rsid w:val="138E2FF9"/>
    <w:rsid w:val="13CA2B4E"/>
    <w:rsid w:val="13EE5957"/>
    <w:rsid w:val="14294F3F"/>
    <w:rsid w:val="145A1BF7"/>
    <w:rsid w:val="14851B79"/>
    <w:rsid w:val="15AA5E96"/>
    <w:rsid w:val="15D942D4"/>
    <w:rsid w:val="162866A2"/>
    <w:rsid w:val="167224E4"/>
    <w:rsid w:val="16921FAF"/>
    <w:rsid w:val="177B78C5"/>
    <w:rsid w:val="17E2511D"/>
    <w:rsid w:val="1800389F"/>
    <w:rsid w:val="1804590C"/>
    <w:rsid w:val="181F20AD"/>
    <w:rsid w:val="1829594B"/>
    <w:rsid w:val="184414B7"/>
    <w:rsid w:val="189B4472"/>
    <w:rsid w:val="19300544"/>
    <w:rsid w:val="19492385"/>
    <w:rsid w:val="19883A90"/>
    <w:rsid w:val="1A1553DD"/>
    <w:rsid w:val="1A1667EC"/>
    <w:rsid w:val="1AD27C6F"/>
    <w:rsid w:val="1B24668A"/>
    <w:rsid w:val="1BED1E2C"/>
    <w:rsid w:val="1C612DAD"/>
    <w:rsid w:val="1D2D60B2"/>
    <w:rsid w:val="1D3B0FE4"/>
    <w:rsid w:val="1D435FFF"/>
    <w:rsid w:val="1D540A00"/>
    <w:rsid w:val="1DA327A0"/>
    <w:rsid w:val="1DA67191"/>
    <w:rsid w:val="1DBC4027"/>
    <w:rsid w:val="1E504BF2"/>
    <w:rsid w:val="1EA907D1"/>
    <w:rsid w:val="1F066139"/>
    <w:rsid w:val="1F3C04FF"/>
    <w:rsid w:val="1F762BAF"/>
    <w:rsid w:val="20123648"/>
    <w:rsid w:val="203100A0"/>
    <w:rsid w:val="21DA0F90"/>
    <w:rsid w:val="21FD6C01"/>
    <w:rsid w:val="22463DDE"/>
    <w:rsid w:val="227E692E"/>
    <w:rsid w:val="22881F58"/>
    <w:rsid w:val="22E55DA3"/>
    <w:rsid w:val="231F12DE"/>
    <w:rsid w:val="23531B69"/>
    <w:rsid w:val="23835AF5"/>
    <w:rsid w:val="23991047"/>
    <w:rsid w:val="23B107E7"/>
    <w:rsid w:val="23B940CE"/>
    <w:rsid w:val="242F1397"/>
    <w:rsid w:val="25324A72"/>
    <w:rsid w:val="2604714B"/>
    <w:rsid w:val="26680B0E"/>
    <w:rsid w:val="276607BD"/>
    <w:rsid w:val="27707807"/>
    <w:rsid w:val="277E3A4E"/>
    <w:rsid w:val="29095901"/>
    <w:rsid w:val="290F58EC"/>
    <w:rsid w:val="29712213"/>
    <w:rsid w:val="2A641BAA"/>
    <w:rsid w:val="2A85768A"/>
    <w:rsid w:val="2B0E3A48"/>
    <w:rsid w:val="2B2B347E"/>
    <w:rsid w:val="2B5841C1"/>
    <w:rsid w:val="2B9C2019"/>
    <w:rsid w:val="2BC2788C"/>
    <w:rsid w:val="2BE61BF3"/>
    <w:rsid w:val="2BE63207"/>
    <w:rsid w:val="2BED05B2"/>
    <w:rsid w:val="2C112589"/>
    <w:rsid w:val="2C1B5B53"/>
    <w:rsid w:val="2CD92454"/>
    <w:rsid w:val="2D5072C9"/>
    <w:rsid w:val="2D9737AA"/>
    <w:rsid w:val="2E44738D"/>
    <w:rsid w:val="2E483CF0"/>
    <w:rsid w:val="2EAE282B"/>
    <w:rsid w:val="2ED43E1F"/>
    <w:rsid w:val="2EF61F5F"/>
    <w:rsid w:val="2F204D2F"/>
    <w:rsid w:val="2F213D0C"/>
    <w:rsid w:val="2F6B6D60"/>
    <w:rsid w:val="2FCD7BF6"/>
    <w:rsid w:val="30280776"/>
    <w:rsid w:val="30D8752B"/>
    <w:rsid w:val="31327933"/>
    <w:rsid w:val="314F7592"/>
    <w:rsid w:val="3181202F"/>
    <w:rsid w:val="32047B94"/>
    <w:rsid w:val="32886AF3"/>
    <w:rsid w:val="32EF5010"/>
    <w:rsid w:val="33020A40"/>
    <w:rsid w:val="33047391"/>
    <w:rsid w:val="333332D8"/>
    <w:rsid w:val="333C43C8"/>
    <w:rsid w:val="338737FF"/>
    <w:rsid w:val="347270AC"/>
    <w:rsid w:val="34A400A9"/>
    <w:rsid w:val="350D59DC"/>
    <w:rsid w:val="351116A8"/>
    <w:rsid w:val="359C73A0"/>
    <w:rsid w:val="35F73B2D"/>
    <w:rsid w:val="36160F00"/>
    <w:rsid w:val="36A171E4"/>
    <w:rsid w:val="375B41E8"/>
    <w:rsid w:val="37983B5D"/>
    <w:rsid w:val="37E008B4"/>
    <w:rsid w:val="37E3463B"/>
    <w:rsid w:val="38731E86"/>
    <w:rsid w:val="38A54F26"/>
    <w:rsid w:val="38AB24E9"/>
    <w:rsid w:val="38DD789A"/>
    <w:rsid w:val="393E61F7"/>
    <w:rsid w:val="39547B8F"/>
    <w:rsid w:val="396669FF"/>
    <w:rsid w:val="397B56DC"/>
    <w:rsid w:val="39AC7A37"/>
    <w:rsid w:val="39EE0ECA"/>
    <w:rsid w:val="3A010BF4"/>
    <w:rsid w:val="3A5A5133"/>
    <w:rsid w:val="3A5F052B"/>
    <w:rsid w:val="3B0C7CE0"/>
    <w:rsid w:val="3B3347D5"/>
    <w:rsid w:val="3BC02155"/>
    <w:rsid w:val="3BF7E6BF"/>
    <w:rsid w:val="3C28581E"/>
    <w:rsid w:val="3C4538F8"/>
    <w:rsid w:val="3CA2297F"/>
    <w:rsid w:val="3CD975B2"/>
    <w:rsid w:val="3CFC1E0B"/>
    <w:rsid w:val="3CFF1E29"/>
    <w:rsid w:val="3D7D1865"/>
    <w:rsid w:val="3ED27DBD"/>
    <w:rsid w:val="3F0C0676"/>
    <w:rsid w:val="3F141141"/>
    <w:rsid w:val="3F5A3C2F"/>
    <w:rsid w:val="3F724603"/>
    <w:rsid w:val="3FC76EA6"/>
    <w:rsid w:val="40244897"/>
    <w:rsid w:val="403A5348"/>
    <w:rsid w:val="40504E9C"/>
    <w:rsid w:val="4090448B"/>
    <w:rsid w:val="4185378C"/>
    <w:rsid w:val="431E490D"/>
    <w:rsid w:val="4384772F"/>
    <w:rsid w:val="43850177"/>
    <w:rsid w:val="43865400"/>
    <w:rsid w:val="44362561"/>
    <w:rsid w:val="443B2D53"/>
    <w:rsid w:val="445341F2"/>
    <w:rsid w:val="44834750"/>
    <w:rsid w:val="44DB2ACE"/>
    <w:rsid w:val="458849D3"/>
    <w:rsid w:val="45A06791"/>
    <w:rsid w:val="45B1292D"/>
    <w:rsid w:val="45BF74A8"/>
    <w:rsid w:val="45CD38CF"/>
    <w:rsid w:val="462E307C"/>
    <w:rsid w:val="464072B5"/>
    <w:rsid w:val="464D21B7"/>
    <w:rsid w:val="46CA635B"/>
    <w:rsid w:val="489A6F14"/>
    <w:rsid w:val="494B597C"/>
    <w:rsid w:val="498072FA"/>
    <w:rsid w:val="49962324"/>
    <w:rsid w:val="49ED0155"/>
    <w:rsid w:val="4A5D3697"/>
    <w:rsid w:val="4AFC6247"/>
    <w:rsid w:val="4B704D15"/>
    <w:rsid w:val="4B8F5D2D"/>
    <w:rsid w:val="4B9A22C6"/>
    <w:rsid w:val="4C0C0983"/>
    <w:rsid w:val="4C2E0DCB"/>
    <w:rsid w:val="4C641BFC"/>
    <w:rsid w:val="4C726569"/>
    <w:rsid w:val="4CB37C08"/>
    <w:rsid w:val="4CC874F6"/>
    <w:rsid w:val="4CD60537"/>
    <w:rsid w:val="4CDB1144"/>
    <w:rsid w:val="4D47054C"/>
    <w:rsid w:val="4D516231"/>
    <w:rsid w:val="4D6E4265"/>
    <w:rsid w:val="4D7E702B"/>
    <w:rsid w:val="4D94083B"/>
    <w:rsid w:val="4E4F369A"/>
    <w:rsid w:val="4E6A7538"/>
    <w:rsid w:val="4EDA6221"/>
    <w:rsid w:val="4F2E243F"/>
    <w:rsid w:val="4FDF2564"/>
    <w:rsid w:val="501523A2"/>
    <w:rsid w:val="504174FC"/>
    <w:rsid w:val="50571C9F"/>
    <w:rsid w:val="50AB003F"/>
    <w:rsid w:val="50CF4503"/>
    <w:rsid w:val="50D37C15"/>
    <w:rsid w:val="511D019F"/>
    <w:rsid w:val="511D18C9"/>
    <w:rsid w:val="51542C8D"/>
    <w:rsid w:val="516234FD"/>
    <w:rsid w:val="51656886"/>
    <w:rsid w:val="516A1B63"/>
    <w:rsid w:val="51B81737"/>
    <w:rsid w:val="51D77030"/>
    <w:rsid w:val="52353A0A"/>
    <w:rsid w:val="52D85750"/>
    <w:rsid w:val="52FB18C6"/>
    <w:rsid w:val="531072F0"/>
    <w:rsid w:val="53213E80"/>
    <w:rsid w:val="53FE3E0A"/>
    <w:rsid w:val="543142CF"/>
    <w:rsid w:val="55286E22"/>
    <w:rsid w:val="556E6581"/>
    <w:rsid w:val="5588677D"/>
    <w:rsid w:val="560317C0"/>
    <w:rsid w:val="560E14B9"/>
    <w:rsid w:val="561F720E"/>
    <w:rsid w:val="566F4A58"/>
    <w:rsid w:val="5712150D"/>
    <w:rsid w:val="57A3633F"/>
    <w:rsid w:val="57B27F05"/>
    <w:rsid w:val="57CF58DB"/>
    <w:rsid w:val="57DC33A7"/>
    <w:rsid w:val="58215343"/>
    <w:rsid w:val="584F10D8"/>
    <w:rsid w:val="5854171D"/>
    <w:rsid w:val="587561D1"/>
    <w:rsid w:val="58D01EBB"/>
    <w:rsid w:val="58F61D44"/>
    <w:rsid w:val="596B3D20"/>
    <w:rsid w:val="597D2244"/>
    <w:rsid w:val="59F3439B"/>
    <w:rsid w:val="5A0D30B4"/>
    <w:rsid w:val="5A2A3F59"/>
    <w:rsid w:val="5A483FF8"/>
    <w:rsid w:val="5B0C693A"/>
    <w:rsid w:val="5B1E3B4B"/>
    <w:rsid w:val="5B3429A4"/>
    <w:rsid w:val="5B7928AC"/>
    <w:rsid w:val="5B9C5C45"/>
    <w:rsid w:val="5C0C1983"/>
    <w:rsid w:val="5C146507"/>
    <w:rsid w:val="5C8556D4"/>
    <w:rsid w:val="5C9C6DF2"/>
    <w:rsid w:val="5C9D087A"/>
    <w:rsid w:val="5D1458EA"/>
    <w:rsid w:val="5D35760E"/>
    <w:rsid w:val="5D5840D6"/>
    <w:rsid w:val="5D8A2234"/>
    <w:rsid w:val="5DA37A9B"/>
    <w:rsid w:val="5DE96312"/>
    <w:rsid w:val="5E334000"/>
    <w:rsid w:val="5E69296F"/>
    <w:rsid w:val="5ED50225"/>
    <w:rsid w:val="5F1F0240"/>
    <w:rsid w:val="5F562BF3"/>
    <w:rsid w:val="603F5402"/>
    <w:rsid w:val="60603B12"/>
    <w:rsid w:val="60B0413F"/>
    <w:rsid w:val="60D818B2"/>
    <w:rsid w:val="614C422E"/>
    <w:rsid w:val="615A0A76"/>
    <w:rsid w:val="619135C2"/>
    <w:rsid w:val="621C7880"/>
    <w:rsid w:val="628A4E55"/>
    <w:rsid w:val="6295412E"/>
    <w:rsid w:val="62D04AAA"/>
    <w:rsid w:val="63381C06"/>
    <w:rsid w:val="64037383"/>
    <w:rsid w:val="64126E1E"/>
    <w:rsid w:val="642E2243"/>
    <w:rsid w:val="6469630A"/>
    <w:rsid w:val="648B4CC0"/>
    <w:rsid w:val="64A2179B"/>
    <w:rsid w:val="654B7F44"/>
    <w:rsid w:val="65F77B57"/>
    <w:rsid w:val="65FF3AA9"/>
    <w:rsid w:val="660031E4"/>
    <w:rsid w:val="660F3D1F"/>
    <w:rsid w:val="66152ACA"/>
    <w:rsid w:val="663250C1"/>
    <w:rsid w:val="66BF5DFC"/>
    <w:rsid w:val="66EF5BAF"/>
    <w:rsid w:val="675A157F"/>
    <w:rsid w:val="677909F1"/>
    <w:rsid w:val="67F91D07"/>
    <w:rsid w:val="683F44C5"/>
    <w:rsid w:val="68B44D24"/>
    <w:rsid w:val="696D41C4"/>
    <w:rsid w:val="69BF1317"/>
    <w:rsid w:val="69ED05F9"/>
    <w:rsid w:val="6B263ACF"/>
    <w:rsid w:val="6B73602A"/>
    <w:rsid w:val="6B8B6CF1"/>
    <w:rsid w:val="6BDF6CC4"/>
    <w:rsid w:val="6C1660AA"/>
    <w:rsid w:val="6C234574"/>
    <w:rsid w:val="6C4142CA"/>
    <w:rsid w:val="6E231488"/>
    <w:rsid w:val="6E7E2016"/>
    <w:rsid w:val="6F0452B4"/>
    <w:rsid w:val="6F4C6B46"/>
    <w:rsid w:val="70905002"/>
    <w:rsid w:val="70BB7C71"/>
    <w:rsid w:val="717D0E42"/>
    <w:rsid w:val="719F75B5"/>
    <w:rsid w:val="71B400B8"/>
    <w:rsid w:val="71BF5D6D"/>
    <w:rsid w:val="72516F6C"/>
    <w:rsid w:val="72EF1566"/>
    <w:rsid w:val="73412F53"/>
    <w:rsid w:val="73437FCE"/>
    <w:rsid w:val="73B30FC6"/>
    <w:rsid w:val="74592D34"/>
    <w:rsid w:val="748443E4"/>
    <w:rsid w:val="74D77289"/>
    <w:rsid w:val="74F952E5"/>
    <w:rsid w:val="753F15A0"/>
    <w:rsid w:val="75483F2B"/>
    <w:rsid w:val="75A628C9"/>
    <w:rsid w:val="75B36462"/>
    <w:rsid w:val="76065B98"/>
    <w:rsid w:val="763F7413"/>
    <w:rsid w:val="76861D4C"/>
    <w:rsid w:val="76B27622"/>
    <w:rsid w:val="77740E18"/>
    <w:rsid w:val="77EF7A33"/>
    <w:rsid w:val="780A371A"/>
    <w:rsid w:val="781101C0"/>
    <w:rsid w:val="7824373B"/>
    <w:rsid w:val="7831103D"/>
    <w:rsid w:val="784521A0"/>
    <w:rsid w:val="786755ED"/>
    <w:rsid w:val="788D1579"/>
    <w:rsid w:val="79156F08"/>
    <w:rsid w:val="79220BB1"/>
    <w:rsid w:val="79936676"/>
    <w:rsid w:val="79A52F07"/>
    <w:rsid w:val="7A6F2A3A"/>
    <w:rsid w:val="7A8A0B42"/>
    <w:rsid w:val="7B541151"/>
    <w:rsid w:val="7B851976"/>
    <w:rsid w:val="7B9A12F6"/>
    <w:rsid w:val="7BBB15F0"/>
    <w:rsid w:val="7BD4353D"/>
    <w:rsid w:val="7BE772BD"/>
    <w:rsid w:val="7C07A0F5"/>
    <w:rsid w:val="7C0E057E"/>
    <w:rsid w:val="7C5311B3"/>
    <w:rsid w:val="7CDB7433"/>
    <w:rsid w:val="7D0F22FE"/>
    <w:rsid w:val="7D460711"/>
    <w:rsid w:val="7D717185"/>
    <w:rsid w:val="7D7635FF"/>
    <w:rsid w:val="7D8111E0"/>
    <w:rsid w:val="7DB10E50"/>
    <w:rsid w:val="7E172803"/>
    <w:rsid w:val="7EC13FAE"/>
    <w:rsid w:val="7F152E80"/>
    <w:rsid w:val="7F207CC7"/>
    <w:rsid w:val="7F3D3C2E"/>
    <w:rsid w:val="7F770BAF"/>
    <w:rsid w:val="7FA92E56"/>
    <w:rsid w:val="ADB3EDF9"/>
    <w:rsid w:val="B59DAF38"/>
    <w:rsid w:val="BFBAAF01"/>
    <w:rsid w:val="D6FDEFC2"/>
    <w:rsid w:val="DFDE7D33"/>
    <w:rsid w:val="FD7EF2D2"/>
    <w:rsid w:val="FDF5A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imes New Roman" w:cs="Times New Roman"/>
      <w:sz w:val="24"/>
      <w:szCs w:val="24"/>
      <w:lang w:val="en-GB" w:eastAsia="zh-CN" w:bidi="ar-SA"/>
    </w:rPr>
  </w:style>
  <w:style w:type="paragraph" w:styleId="2">
    <w:name w:val="heading 1"/>
    <w:basedOn w:val="1"/>
    <w:next w:val="1"/>
    <w:qFormat/>
    <w:uiPriority w:val="9"/>
    <w:pPr>
      <w:spacing w:beforeAutospacing="1" w:afterAutospacing="1"/>
      <w:outlineLvl w:val="0"/>
    </w:pPr>
    <w:rPr>
      <w:rFonts w:hint="eastAsia" w:ascii="宋体" w:hAnsi="宋体" w:eastAsia="宋体"/>
      <w:b/>
      <w:bCs/>
      <w:kern w:val="36"/>
      <w:sz w:val="48"/>
      <w:szCs w:val="48"/>
      <w:lang w:val="en-US"/>
    </w:rPr>
  </w:style>
  <w:style w:type="paragraph" w:styleId="3">
    <w:name w:val="heading 2"/>
    <w:basedOn w:val="1"/>
    <w:next w:val="1"/>
    <w:unhideWhenUsed/>
    <w:qFormat/>
    <w:uiPriority w:val="9"/>
    <w:pPr>
      <w:keepNext/>
      <w:keepLines/>
      <w:numPr>
        <w:ilvl w:val="0"/>
        <w:numId w:val="1"/>
      </w:numPr>
      <w:spacing w:line="560" w:lineRule="exact"/>
      <w:ind w:left="0" w:firstLine="880" w:firstLineChars="200"/>
      <w:outlineLvl w:val="1"/>
    </w:pPr>
    <w:rPr>
      <w:rFonts w:ascii="方正黑体简体" w:hAnsi="方正黑体简体" w:eastAsia="方正黑体简体"/>
      <w:sz w:val="32"/>
      <w:szCs w:val="22"/>
    </w:rPr>
  </w:style>
  <w:style w:type="paragraph" w:styleId="4">
    <w:name w:val="heading 3"/>
    <w:basedOn w:val="1"/>
    <w:next w:val="1"/>
    <w:link w:val="22"/>
    <w:autoRedefine/>
    <w:unhideWhenUsed/>
    <w:qFormat/>
    <w:uiPriority w:val="9"/>
    <w:pPr>
      <w:keepNext/>
      <w:keepLines/>
      <w:numPr>
        <w:ilvl w:val="0"/>
        <w:numId w:val="2"/>
      </w:numPr>
      <w:tabs>
        <w:tab w:val="left" w:pos="0"/>
      </w:tabs>
      <w:spacing w:line="560" w:lineRule="exact"/>
      <w:outlineLvl w:val="2"/>
    </w:pPr>
    <w:rPr>
      <w:rFonts w:ascii="方正楷体简体" w:hAnsi="方正楷体简体" w:eastAsia="方正楷体简体"/>
      <w:sz w:val="32"/>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link w:val="26"/>
    <w:autoRedefine/>
    <w:semiHidden/>
    <w:unhideWhenUsed/>
    <w:qFormat/>
    <w:uiPriority w:val="99"/>
  </w:style>
  <w:style w:type="paragraph" w:styleId="6">
    <w:name w:val="footer"/>
    <w:basedOn w:val="1"/>
    <w:link w:val="18"/>
    <w:autoRedefine/>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lang w:val="en-US"/>
    </w:rPr>
  </w:style>
  <w:style w:type="paragraph" w:styleId="7">
    <w:name w:val="header"/>
    <w:basedOn w:val="1"/>
    <w:link w:val="17"/>
    <w:autoRedefine/>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lang w:val="en-US"/>
    </w:rPr>
  </w:style>
  <w:style w:type="paragraph" w:styleId="8">
    <w:name w:val="Normal (Web)"/>
    <w:basedOn w:val="1"/>
    <w:autoRedefine/>
    <w:unhideWhenUsed/>
    <w:qFormat/>
    <w:uiPriority w:val="99"/>
    <w:pPr>
      <w:spacing w:before="100" w:beforeAutospacing="1" w:after="100" w:afterAutospacing="1"/>
    </w:pPr>
    <w:rPr>
      <w:rFonts w:ascii="宋体" w:hAnsi="宋体" w:eastAsia="宋体" w:cs="宋体"/>
    </w:rPr>
  </w:style>
  <w:style w:type="paragraph" w:styleId="9">
    <w:name w:val="annotation subject"/>
    <w:basedOn w:val="5"/>
    <w:next w:val="5"/>
    <w:link w:val="27"/>
    <w:autoRedefine/>
    <w:semiHidden/>
    <w:unhideWhenUsed/>
    <w:qFormat/>
    <w:uiPriority w:val="99"/>
    <w:rPr>
      <w:b/>
      <w:bCs/>
    </w:rPr>
  </w:style>
  <w:style w:type="character" w:styleId="12">
    <w:name w:val="Strong"/>
    <w:autoRedefine/>
    <w:qFormat/>
    <w:uiPriority w:val="22"/>
    <w:rPr>
      <w:b/>
      <w:bCs/>
    </w:rPr>
  </w:style>
  <w:style w:type="character" w:styleId="13">
    <w:name w:val="FollowedHyperlink"/>
    <w:basedOn w:val="11"/>
    <w:autoRedefine/>
    <w:semiHidden/>
    <w:unhideWhenUsed/>
    <w:qFormat/>
    <w:uiPriority w:val="99"/>
    <w:rPr>
      <w:color w:val="954F72" w:themeColor="followedHyperlink"/>
      <w:u w:val="single"/>
      <w14:textFill>
        <w14:solidFill>
          <w14:schemeClr w14:val="folHlink"/>
        </w14:solidFill>
      </w14:textFill>
    </w:rPr>
  </w:style>
  <w:style w:type="character" w:styleId="14">
    <w:name w:val="Emphasis"/>
    <w:basedOn w:val="11"/>
    <w:autoRedefine/>
    <w:qFormat/>
    <w:uiPriority w:val="20"/>
    <w:rPr>
      <w:i/>
      <w:iCs/>
    </w:rPr>
  </w:style>
  <w:style w:type="character" w:styleId="15">
    <w:name w:val="Hyperlink"/>
    <w:basedOn w:val="11"/>
    <w:autoRedefine/>
    <w:unhideWhenUsed/>
    <w:qFormat/>
    <w:uiPriority w:val="99"/>
    <w:rPr>
      <w:color w:val="0563C1" w:themeColor="hyperlink"/>
      <w:u w:val="single"/>
      <w14:textFill>
        <w14:solidFill>
          <w14:schemeClr w14:val="hlink"/>
        </w14:solidFill>
      </w14:textFill>
    </w:rPr>
  </w:style>
  <w:style w:type="character" w:styleId="16">
    <w:name w:val="annotation reference"/>
    <w:basedOn w:val="11"/>
    <w:autoRedefine/>
    <w:semiHidden/>
    <w:unhideWhenUsed/>
    <w:qFormat/>
    <w:uiPriority w:val="99"/>
    <w:rPr>
      <w:sz w:val="21"/>
      <w:szCs w:val="21"/>
    </w:rPr>
  </w:style>
  <w:style w:type="character" w:customStyle="1" w:styleId="17">
    <w:name w:val="页眉 字符"/>
    <w:basedOn w:val="11"/>
    <w:link w:val="7"/>
    <w:autoRedefine/>
    <w:qFormat/>
    <w:uiPriority w:val="99"/>
    <w:rPr>
      <w:sz w:val="18"/>
      <w:szCs w:val="18"/>
    </w:rPr>
  </w:style>
  <w:style w:type="character" w:customStyle="1" w:styleId="18">
    <w:name w:val="页脚 字符"/>
    <w:basedOn w:val="11"/>
    <w:link w:val="6"/>
    <w:autoRedefine/>
    <w:qFormat/>
    <w:uiPriority w:val="99"/>
    <w:rPr>
      <w:sz w:val="18"/>
      <w:szCs w:val="18"/>
    </w:rPr>
  </w:style>
  <w:style w:type="character" w:customStyle="1" w:styleId="19">
    <w:name w:val="未处理的提及1"/>
    <w:basedOn w:val="11"/>
    <w:autoRedefine/>
    <w:semiHidden/>
    <w:unhideWhenUsed/>
    <w:qFormat/>
    <w:uiPriority w:val="99"/>
    <w:rPr>
      <w:color w:val="605E5C"/>
      <w:shd w:val="clear" w:color="auto" w:fill="E1DFDD"/>
    </w:rPr>
  </w:style>
  <w:style w:type="paragraph" w:styleId="20">
    <w:name w:val="List Paragraph"/>
    <w:basedOn w:val="1"/>
    <w:autoRedefine/>
    <w:qFormat/>
    <w:uiPriority w:val="34"/>
    <w:pPr>
      <w:ind w:firstLine="420" w:firstLineChars="200"/>
    </w:pPr>
  </w:style>
  <w:style w:type="character" w:customStyle="1" w:styleId="21">
    <w:name w:val="未处理的提及2"/>
    <w:basedOn w:val="11"/>
    <w:autoRedefine/>
    <w:semiHidden/>
    <w:unhideWhenUsed/>
    <w:qFormat/>
    <w:uiPriority w:val="99"/>
    <w:rPr>
      <w:color w:val="605E5C"/>
      <w:shd w:val="clear" w:color="auto" w:fill="E1DFDD"/>
    </w:rPr>
  </w:style>
  <w:style w:type="character" w:customStyle="1" w:styleId="22">
    <w:name w:val="标题 3 字符"/>
    <w:link w:val="4"/>
    <w:autoRedefine/>
    <w:qFormat/>
    <w:uiPriority w:val="0"/>
    <w:rPr>
      <w:rFonts w:ascii="方正楷体简体" w:hAnsi="方正楷体简体" w:eastAsia="方正楷体简体"/>
      <w:sz w:val="32"/>
    </w:rPr>
  </w:style>
  <w:style w:type="table" w:customStyle="1" w:styleId="23">
    <w:name w:val="Table Normal"/>
    <w:autoRedefine/>
    <w:semiHidden/>
    <w:unhideWhenUsed/>
    <w:qFormat/>
    <w:uiPriority w:val="0"/>
    <w:tblPr>
      <w:tblCellMar>
        <w:top w:w="0" w:type="dxa"/>
        <w:left w:w="0" w:type="dxa"/>
        <w:bottom w:w="0" w:type="dxa"/>
        <w:right w:w="0" w:type="dxa"/>
      </w:tblCellMar>
    </w:tblPr>
  </w:style>
  <w:style w:type="character" w:customStyle="1" w:styleId="24">
    <w:name w:val="Unresolved Mention"/>
    <w:basedOn w:val="11"/>
    <w:autoRedefine/>
    <w:semiHidden/>
    <w:unhideWhenUsed/>
    <w:qFormat/>
    <w:uiPriority w:val="99"/>
    <w:rPr>
      <w:color w:val="605E5C"/>
      <w:shd w:val="clear" w:color="auto" w:fill="E1DFDD"/>
    </w:rPr>
  </w:style>
  <w:style w:type="paragraph" w:customStyle="1" w:styleId="25">
    <w:name w:val="Revision"/>
    <w:autoRedefine/>
    <w:hidden/>
    <w:unhideWhenUsed/>
    <w:qFormat/>
    <w:uiPriority w:val="99"/>
    <w:rPr>
      <w:rFonts w:ascii="Times New Roman" w:hAnsi="Times New Roman" w:eastAsia="Times New Roman" w:cs="Times New Roman"/>
      <w:sz w:val="24"/>
      <w:szCs w:val="24"/>
      <w:lang w:val="en-GB" w:eastAsia="zh-CN" w:bidi="ar-SA"/>
    </w:rPr>
  </w:style>
  <w:style w:type="character" w:customStyle="1" w:styleId="26">
    <w:name w:val="批注文字 字符"/>
    <w:basedOn w:val="11"/>
    <w:link w:val="5"/>
    <w:autoRedefine/>
    <w:semiHidden/>
    <w:qFormat/>
    <w:uiPriority w:val="99"/>
    <w:rPr>
      <w:rFonts w:eastAsia="Times New Roman"/>
      <w:sz w:val="24"/>
      <w:szCs w:val="24"/>
      <w:lang w:val="en-GB"/>
    </w:rPr>
  </w:style>
  <w:style w:type="character" w:customStyle="1" w:styleId="27">
    <w:name w:val="批注主题 字符"/>
    <w:basedOn w:val="26"/>
    <w:link w:val="9"/>
    <w:autoRedefine/>
    <w:semiHidden/>
    <w:qFormat/>
    <w:uiPriority w:val="99"/>
    <w:rPr>
      <w:rFonts w:eastAsia="Times New Roman"/>
      <w:b/>
      <w:bCs/>
      <w:sz w:val="24"/>
      <w:szCs w:val="24"/>
      <w:lang w:val="en-G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587</Words>
  <Characters>3351</Characters>
  <Lines>27</Lines>
  <Paragraphs>7</Paragraphs>
  <TotalTime>0</TotalTime>
  <ScaleCrop>false</ScaleCrop>
  <LinksUpToDate>false</LinksUpToDate>
  <CharactersWithSpaces>3931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2024-03-30T12:11:00Z</dcterms:created>
  <dc:creator>张 斌</dc:creator>
  <cp:lastModifiedBy>朱赫</cp:lastModifiedBy>
  <cp:lastPrinted>2023-02-10T11:47:00Z</cp:lastPrinted>
  <dcterms:modified xsi:type="dcterms:W3CDTF">2024-04-17T00:49:36Z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96B2DA85D3EF44878CA2308EF2077766</vt:lpwstr>
  </property>
</Properties>
</file>