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6：</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针对大型发电设备检修的微小型机器人</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default" w:ascii="Times New Roman" w:hAnsi="Times New Roman" w:eastAsia="方正大标宋_GBK"/>
          <w:b w:val="0"/>
          <w:bCs w:val="0"/>
          <w:color w:val="000000" w:themeColor="text1"/>
          <w:sz w:val="44"/>
          <w:szCs w:val="44"/>
          <w14:textFill>
            <w14:solidFill>
              <w14:schemeClr w14:val="tx1"/>
            </w14:solidFill>
          </w14:textFill>
        </w:rPr>
        <w:t>应用研究</w:t>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eastAsia="方正楷体简体"/>
          <w:color w:val="000000" w:themeColor="text1"/>
          <w:sz w:val="32"/>
          <w:szCs w:val="32"/>
          <w:lang w:val="en-US"/>
          <w14:textFill>
            <w14:solidFill>
              <w14:schemeClr w14:val="tx1"/>
            </w14:solidFill>
          </w14:textFill>
        </w:rPr>
      </w:pPr>
      <w:r>
        <w:rPr>
          <w:rFonts w:eastAsia="方正楷体简体"/>
          <w:color w:val="000000" w:themeColor="text1"/>
          <w:sz w:val="32"/>
          <w:szCs w:val="32"/>
          <w:lang w:val="en-US"/>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上海电气集团股份有限公司</w:t>
      </w:r>
      <w:r>
        <w:rPr>
          <w:rFonts w:eastAsia="方正楷体简体"/>
          <w:color w:val="000000" w:themeColor="text1"/>
          <w:sz w:val="32"/>
          <w:szCs w:val="32"/>
          <w:lang w:val="en-US"/>
          <w14:textFill>
            <w14:solidFill>
              <w14:schemeClr w14:val="tx1"/>
            </w14:solidFill>
          </w14:textFill>
        </w:rPr>
        <w:t>）</w:t>
      </w:r>
    </w:p>
    <w:p>
      <w:pPr>
        <w:snapToGrid w:val="0"/>
        <w:spacing w:line="560" w:lineRule="exact"/>
        <w:jc w:val="both"/>
        <w:outlineLvl w:val="9"/>
        <w:rPr>
          <w:rFonts w:eastAsia="方正仿宋_GBK"/>
          <w:color w:val="000000" w:themeColor="text1"/>
          <w:sz w:val="32"/>
          <w:szCs w:val="32"/>
          <w:lang w:val="en-US"/>
          <w14:textFill>
            <w14:solidFill>
              <w14:schemeClr w14:val="tx1"/>
            </w14:solidFill>
          </w14:textFill>
        </w:rPr>
      </w:pP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pageBreakBefore w:val="0"/>
        <w:widowControl/>
        <w:kinsoku/>
        <w:wordWrap/>
        <w:overflowPunct/>
        <w:topLinePunct w:val="0"/>
        <w:autoSpaceDE/>
        <w:autoSpaceDN/>
        <w:bidi w:val="0"/>
        <w:spacing w:line="560" w:lineRule="exact"/>
        <w:ind w:left="0"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上海电气集团股份有限公司</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针对大型发电设备检修的微小型机器人应用研究</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w:t>
      </w:r>
      <w:r>
        <w:rPr>
          <w:rFonts w:hint="eastAsia" w:ascii="Times New Roman" w:hAnsi="Times New Roman" w:eastAsia="方正黑体_GBK"/>
          <w:color w:val="000000" w:themeColor="text1"/>
          <w:lang w:val="en-US"/>
          <w14:textFill>
            <w14:solidFill>
              <w14:schemeClr w14:val="tx1"/>
            </w14:solidFill>
          </w14:textFill>
        </w:rPr>
        <w:t>介绍</w:t>
      </w:r>
    </w:p>
    <w:p>
      <w:pPr>
        <w:pageBreakBefore w:val="0"/>
        <w:widowControl/>
        <w:kinsoku/>
        <w:wordWrap/>
        <w:overflowPunct/>
        <w:topLinePunct w:val="0"/>
        <w:autoSpaceDE/>
        <w:autoSpaceDN/>
        <w:bidi w:val="0"/>
        <w:spacing w:line="560" w:lineRule="exact"/>
        <w:ind w:left="0" w:firstLine="640" w:firstLineChars="200"/>
        <w:jc w:val="both"/>
        <w:textAlignment w:val="auto"/>
        <w:rPr>
          <w:rFonts w:hint="eastAsia"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发电装备可靠性是能源电力安全的基石，对发电设备内部状态及时探测和检修维护是提高设备可靠性的重要手段。汽轮机设备作为重要的能量转换装置，工艺精密、结构复杂，检修拆装成本高昂，以微小型机器人进入结构内部检测，对实现设备状态检修意义重大。</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研发一款可进入汽轮发电设备内部的微小型检测机器人，在设备不解体的情况下实现对内部结构安全性探视检查。可以实时操作机器人的行动，</w:t>
      </w:r>
      <w:r>
        <w:rPr>
          <w:rFonts w:hint="eastAsia" w:ascii="方正仿宋_GBK" w:eastAsia="方正仿宋_GBK"/>
          <w:color w:val="000000" w:themeColor="text1"/>
          <w:sz w:val="32"/>
          <w:szCs w:val="32"/>
          <w:lang w:val="en-US" w:eastAsia="zh-CN"/>
          <w14:textFill>
            <w14:solidFill>
              <w14:schemeClr w14:val="tx1"/>
            </w14:solidFill>
          </w14:textFill>
        </w:rPr>
        <w:t>实现</w:t>
      </w:r>
      <w:r>
        <w:rPr>
          <w:rFonts w:hint="eastAsia" w:ascii="方正仿宋_GBK" w:eastAsia="方正仿宋_GBK"/>
          <w:color w:val="000000" w:themeColor="text1"/>
          <w:sz w:val="32"/>
          <w:szCs w:val="32"/>
          <w14:textFill>
            <w14:solidFill>
              <w14:schemeClr w14:val="tx1"/>
            </w14:solidFill>
          </w14:textFill>
        </w:rPr>
        <w:t>设备内部图片数据实时回传。</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Style w:val="8"/>
        <w:pageBreakBefore w:val="0"/>
        <w:widowControl/>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8"/>
        <w:pageBreakBefore w:val="0"/>
        <w:widowControl/>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8"/>
        <w:pageBreakBefore w:val="0"/>
        <w:widowControl/>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8"/>
        <w:pageBreakBefore w:val="0"/>
        <w:widowControl/>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8"/>
        <w:pageBreakBefore w:val="0"/>
        <w:widowControl/>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1"/>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1"/>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pageBreakBefore w:val="0"/>
        <w:widowControl/>
        <w:kinsoku/>
        <w:wordWrap/>
        <w:overflowPunct/>
        <w:topLinePunct w:val="0"/>
        <w:autoSpaceDE/>
        <w:autoSpaceDN/>
        <w:bidi w:val="0"/>
        <w:adjustRightInd w:val="0"/>
        <w:snapToGrid w:val="0"/>
        <w:spacing w:line="560" w:lineRule="exact"/>
        <w:ind w:left="0" w:firstLine="664" w:firstLineChars="200"/>
        <w:textAlignment w:val="auto"/>
        <w:rPr>
          <w:rFonts w:hint="eastAsia" w:ascii="Times New Roman" w:hAnsi="Times New Roman" w:eastAsia="方正仿宋_GBK"/>
          <w:bCs/>
          <w:color w:val="000000" w:themeColor="text1"/>
          <w:spacing w:val="6"/>
          <w:sz w:val="32"/>
          <w:szCs w:val="32"/>
          <w14:textFill>
            <w14:solidFill>
              <w14:schemeClr w14:val="tx1"/>
            </w14:solidFill>
          </w14:textFill>
        </w:rPr>
      </w:pPr>
      <w:r>
        <w:rPr>
          <w:rFonts w:hint="default" w:ascii="Times New Roman" w:hAnsi="Times New Roman" w:eastAsia="方正仿宋_GBK" w:cs="Times New Roman"/>
          <w:bCs/>
          <w:color w:val="000000" w:themeColor="text1"/>
          <w:spacing w:val="6"/>
          <w:sz w:val="32"/>
          <w:szCs w:val="32"/>
          <w:lang w:val="en-US" w:eastAsia="zh-CN"/>
          <w14:textFill>
            <w14:solidFill>
              <w14:schemeClr w14:val="tx1"/>
            </w14:solidFill>
          </w14:textFill>
        </w:rPr>
        <w:t xml:space="preserve">1. </w:t>
      </w:r>
      <w:r>
        <w:rPr>
          <w:rFonts w:hint="eastAsia" w:ascii="Times New Roman" w:hAnsi="Times New Roman" w:eastAsia="方正仿宋_GBK"/>
          <w:bCs/>
          <w:color w:val="000000" w:themeColor="text1"/>
          <w:spacing w:val="6"/>
          <w:sz w:val="32"/>
          <w:szCs w:val="32"/>
          <w:highlight w:val="none"/>
          <w14:textFill>
            <w14:solidFill>
              <w14:schemeClr w14:val="tx1"/>
            </w14:solidFill>
          </w14:textFill>
        </w:rPr>
        <w:t>提供机器人实物作品及相关操作说明。</w:t>
      </w:r>
      <w:r>
        <w:rPr>
          <w:rFonts w:hint="eastAsia" w:ascii="Times New Roman" w:hAnsi="Times New Roman" w:eastAsia="方正仿宋_GBK"/>
          <w:bCs/>
          <w:color w:val="000000" w:themeColor="text1"/>
          <w:spacing w:val="6"/>
          <w:sz w:val="32"/>
          <w:szCs w:val="32"/>
          <w14:textFill>
            <w14:solidFill>
              <w14:schemeClr w14:val="tx1"/>
            </w14:solidFill>
          </w14:textFill>
        </w:rPr>
        <w:t>要求机器人结构可靠，运动灵活，操作简便。可通过60mm直径通道，穿过复杂的结构障碍前进，适用温度不低于50</w:t>
      </w:r>
      <w:r>
        <w:rPr>
          <w:rFonts w:hint="default" w:ascii="Times New Roman" w:hAnsi="Times New Roman" w:eastAsia="方正仿宋_GBK" w:cs="Times New Roman"/>
          <w:bCs/>
          <w:color w:val="000000" w:themeColor="text1"/>
          <w:spacing w:val="6"/>
          <w:sz w:val="32"/>
          <w:szCs w:val="32"/>
          <w14:textFill>
            <w14:solidFill>
              <w14:schemeClr w14:val="tx1"/>
            </w14:solidFill>
          </w14:textFill>
        </w:rPr>
        <w:t>℃</w:t>
      </w:r>
      <w:r>
        <w:rPr>
          <w:rFonts w:hint="eastAsia" w:ascii="Times New Roman" w:hAnsi="Times New Roman" w:eastAsia="方正仿宋_GBK"/>
          <w:bCs/>
          <w:color w:val="000000" w:themeColor="text1"/>
          <w:spacing w:val="6"/>
          <w:sz w:val="32"/>
          <w:szCs w:val="32"/>
          <w14:textFill>
            <w14:solidFill>
              <w14:schemeClr w14:val="tx1"/>
            </w14:solidFill>
          </w14:textFill>
        </w:rPr>
        <w:t>，负载不低于5N。</w:t>
      </w:r>
    </w:p>
    <w:p>
      <w:pPr>
        <w:pageBreakBefore w:val="0"/>
        <w:widowControl/>
        <w:kinsoku/>
        <w:wordWrap/>
        <w:overflowPunct/>
        <w:topLinePunct w:val="0"/>
        <w:autoSpaceDE/>
        <w:autoSpaceDN/>
        <w:bidi w:val="0"/>
        <w:adjustRightInd w:val="0"/>
        <w:snapToGrid w:val="0"/>
        <w:spacing w:line="560" w:lineRule="exact"/>
        <w:ind w:left="0" w:firstLine="664" w:firstLineChars="200"/>
        <w:textAlignment w:val="auto"/>
        <w:rPr>
          <w:rFonts w:eastAsia="方正仿宋_GBK"/>
          <w:color w:val="000000" w:themeColor="text1"/>
          <w:sz w:val="32"/>
          <w:szCs w:val="32"/>
          <w:lang w:val="en-US"/>
          <w14:textFill>
            <w14:solidFill>
              <w14:schemeClr w14:val="tx1"/>
            </w14:solidFill>
          </w14:textFill>
        </w:rPr>
      </w:pPr>
      <w:r>
        <w:rPr>
          <w:rFonts w:hint="default" w:ascii="Times New Roman" w:hAnsi="Times New Roman" w:eastAsia="方正仿宋_GBK" w:cs="Times New Roman"/>
          <w:bCs/>
          <w:color w:val="000000" w:themeColor="text1"/>
          <w:spacing w:val="6"/>
          <w:sz w:val="32"/>
          <w:szCs w:val="32"/>
          <w:lang w:val="en-US" w:eastAsia="zh-CN"/>
          <w14:textFill>
            <w14:solidFill>
              <w14:schemeClr w14:val="tx1"/>
            </w14:solidFill>
          </w14:textFill>
        </w:rPr>
        <w:t xml:space="preserve">2. </w:t>
      </w:r>
      <w:r>
        <w:rPr>
          <w:rFonts w:hint="eastAsia" w:ascii="Times New Roman" w:hAnsi="Times New Roman" w:eastAsia="方正仿宋_GBK"/>
          <w:bCs/>
          <w:color w:val="000000" w:themeColor="text1"/>
          <w:spacing w:val="6"/>
          <w:sz w:val="32"/>
          <w:szCs w:val="32"/>
          <w14:textFill>
            <w14:solidFill>
              <w14:schemeClr w14:val="tx1"/>
            </w14:solidFill>
          </w14:textFill>
        </w:rPr>
        <w:t>提供一套研究报告。内容必须紧紧围绕本次项目的主题，结合本企业具体实际，对解决实际问题具有指导意义，并具有一定的创造性。</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作品评选标准</w:t>
      </w:r>
    </w:p>
    <w:p>
      <w:pPr>
        <w:pageBreakBefore w:val="0"/>
        <w:widowControl/>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以工程应用为最终研究目标，相关评分标准如下：</w:t>
      </w:r>
    </w:p>
    <w:p>
      <w:pPr>
        <w:pageBreakBefore w:val="0"/>
        <w:widowControl/>
        <w:numPr>
          <w:ilvl w:val="0"/>
          <w:numId w:val="3"/>
        </w:numPr>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b w:val="0"/>
          <w:bCs w:val="0"/>
          <w:color w:val="000000"/>
          <w:sz w:val="32"/>
          <w:szCs w:val="32"/>
        </w:rPr>
      </w:pPr>
      <w:r>
        <w:rPr>
          <w:rFonts w:hint="eastAsia" w:ascii="方正楷体_GBK" w:hAnsi="方正楷体_GBK" w:eastAsia="方正楷体_GBK" w:cs="方正楷体_GBK"/>
          <w:b w:val="0"/>
          <w:bCs w:val="0"/>
          <w:color w:val="000000"/>
          <w:sz w:val="32"/>
          <w:szCs w:val="32"/>
        </w:rPr>
        <w:t>作品完整性：</w:t>
      </w:r>
      <w:r>
        <w:rPr>
          <w:rFonts w:hint="eastAsia" w:ascii="Times New Roman" w:hAnsi="Times New Roman" w:eastAsia="方正仿宋_GBK"/>
          <w:b w:val="0"/>
          <w:bCs w:val="0"/>
          <w:color w:val="000000"/>
          <w:sz w:val="32"/>
          <w:szCs w:val="32"/>
        </w:rPr>
        <w:t>50分</w:t>
      </w:r>
    </w:p>
    <w:p>
      <w:pPr>
        <w:pageBreakBefore w:val="0"/>
        <w:widowControl/>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b w:val="0"/>
          <w:bCs w:val="0"/>
          <w:color w:val="000000"/>
          <w:sz w:val="32"/>
          <w:szCs w:val="32"/>
        </w:rPr>
      </w:pPr>
      <w:r>
        <w:rPr>
          <w:rFonts w:hint="eastAsia" w:ascii="Times New Roman" w:hAnsi="Times New Roman" w:eastAsia="方正仿宋_GBK"/>
          <w:b w:val="0"/>
          <w:bCs w:val="0"/>
          <w:color w:val="000000"/>
          <w:sz w:val="32"/>
          <w:szCs w:val="32"/>
        </w:rPr>
        <w:t>作品结构合理，功能完整，能进入结构内部到达指定位置（设备路径深度大于2米）拍摄视频和照片，50分。如未完成，按照完成度评定，最多不超过30分。</w:t>
      </w:r>
    </w:p>
    <w:p>
      <w:pPr>
        <w:pageBreakBefore w:val="0"/>
        <w:widowControl/>
        <w:numPr>
          <w:ilvl w:val="0"/>
          <w:numId w:val="3"/>
        </w:numPr>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方正仿宋_GBK"/>
          <w:b w:val="0"/>
          <w:bCs w:val="0"/>
          <w:color w:val="000000"/>
          <w:sz w:val="32"/>
          <w:szCs w:val="32"/>
        </w:rPr>
      </w:pPr>
      <w:r>
        <w:rPr>
          <w:rFonts w:hint="eastAsia" w:ascii="方正楷体_GBK" w:hAnsi="方正楷体_GBK" w:eastAsia="方正楷体_GBK" w:cs="方正楷体_GBK"/>
          <w:b w:val="0"/>
          <w:bCs w:val="0"/>
          <w:color w:val="000000"/>
          <w:sz w:val="32"/>
          <w:szCs w:val="32"/>
        </w:rPr>
        <w:t>操控便捷性：</w:t>
      </w:r>
      <w:r>
        <w:rPr>
          <w:rFonts w:hint="eastAsia" w:ascii="Times New Roman" w:hAnsi="Times New Roman" w:eastAsia="方正仿宋_GBK"/>
          <w:b w:val="0"/>
          <w:bCs w:val="0"/>
          <w:color w:val="000000"/>
          <w:sz w:val="32"/>
          <w:szCs w:val="32"/>
        </w:rPr>
        <w:t>25分</w:t>
      </w:r>
    </w:p>
    <w:p>
      <w:pPr>
        <w:pageBreakBefore w:val="0"/>
        <w:widowControl/>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b w:val="0"/>
          <w:bCs w:val="0"/>
          <w:color w:val="000000"/>
          <w:sz w:val="32"/>
          <w:szCs w:val="32"/>
        </w:rPr>
      </w:pPr>
      <w:r>
        <w:rPr>
          <w:rFonts w:hint="eastAsia" w:ascii="Times New Roman" w:hAnsi="Times New Roman" w:eastAsia="方正仿宋_GBK"/>
          <w:b w:val="0"/>
          <w:bCs w:val="0"/>
          <w:color w:val="000000"/>
          <w:sz w:val="32"/>
          <w:szCs w:val="32"/>
        </w:rPr>
        <w:t>要求交互控制系统操作简单，根据操控精度和移动速度评定得分。如能实现机器人在设备内部的准确定位25分，其他根据完成情况打分。</w:t>
      </w:r>
    </w:p>
    <w:p>
      <w:pPr>
        <w:pageBreakBefore w:val="0"/>
        <w:widowControl/>
        <w:numPr>
          <w:ilvl w:val="0"/>
          <w:numId w:val="3"/>
        </w:numPr>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方正仿宋_GBK"/>
          <w:b w:val="0"/>
          <w:bCs w:val="0"/>
          <w:color w:val="000000"/>
          <w:sz w:val="32"/>
          <w:szCs w:val="32"/>
        </w:rPr>
      </w:pPr>
      <w:r>
        <w:rPr>
          <w:rFonts w:hint="eastAsia" w:ascii="方正楷体_GBK" w:hAnsi="方正楷体_GBK" w:eastAsia="方正楷体_GBK" w:cs="方正楷体_GBK"/>
          <w:b w:val="0"/>
          <w:bCs w:val="0"/>
          <w:color w:val="000000"/>
          <w:sz w:val="32"/>
          <w:szCs w:val="32"/>
        </w:rPr>
        <w:t>负载能力：</w:t>
      </w:r>
      <w:r>
        <w:rPr>
          <w:rFonts w:hint="eastAsia" w:ascii="Times New Roman" w:hAnsi="Times New Roman" w:eastAsia="方正仿宋_GBK"/>
          <w:b w:val="0"/>
          <w:bCs w:val="0"/>
          <w:color w:val="000000"/>
          <w:sz w:val="32"/>
          <w:szCs w:val="32"/>
        </w:rPr>
        <w:t>25分</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hint="eastAsia" w:ascii="Times New Roman" w:hAnsi="Times New Roman" w:eastAsia="方正仿宋_GBK"/>
          <w:color w:val="000000"/>
          <w:sz w:val="32"/>
          <w:szCs w:val="32"/>
        </w:rPr>
        <w:t>机器人负载不低于5N，10分，达到20N满分25分，根据实际负载能力计算打分。</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月-8月，各参赛团队选择榜单中的题目开展研发攻关，各高校</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挑战杯</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竞赛组织协调机构要积极组织学生参赛，安排有关老师给予指导，为参赛团队提供支持保障；</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2024年</w:t>
      </w:r>
      <w:r>
        <w:rPr>
          <w:rFonts w:eastAsia="方正仿宋_GBK"/>
          <w:color w:val="000000" w:themeColor="text1"/>
          <w:sz w:val="32"/>
          <w:szCs w:val="32"/>
          <w:lang w:val="en-US"/>
          <w14:textFill>
            <w14:solidFill>
              <w14:schemeClr w14:val="tx1"/>
            </w14:solidFill>
          </w14:textFill>
        </w:rPr>
        <w:t>8月</w:t>
      </w:r>
      <w:r>
        <w:rPr>
          <w:rFonts w:hint="eastAsia" w:eastAsia="方正仿宋_GBK"/>
          <w:color w:val="000000" w:themeColor="text1"/>
          <w:sz w:val="32"/>
          <w:szCs w:val="32"/>
          <w:lang w:val="en-US" w:eastAsia="zh-CN"/>
          <w14:textFill>
            <w14:solidFill>
              <w14:schemeClr w14:val="tx1"/>
            </w14:solidFill>
          </w14:textFill>
        </w:rPr>
        <w:t>10</w:t>
      </w:r>
      <w:r>
        <w:rPr>
          <w:rFonts w:eastAsia="方正仿宋_GBK"/>
          <w:color w:val="000000" w:themeColor="text1"/>
          <w:sz w:val="32"/>
          <w:szCs w:val="32"/>
          <w:lang w:val="en-US"/>
          <w14:textFill>
            <w14:solidFill>
              <w14:schemeClr w14:val="tx1"/>
            </w14:solidFill>
          </w14:textFill>
        </w:rPr>
        <w:t>日前，各参赛团队提交作品，具体提交要求详见作品提交方式。</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8</w:t>
      </w:r>
      <w:r>
        <w:rPr>
          <w:rFonts w:hint="eastAsia" w:eastAsia="方正仿宋_GBK"/>
          <w:color w:val="000000" w:themeColor="text1"/>
          <w:sz w:val="32"/>
          <w:szCs w:val="32"/>
          <w:lang w:val="en-US"/>
          <w14:textFill>
            <w14:solidFill>
              <w14:schemeClr w14:val="tx1"/>
            </w14:solidFill>
          </w14:textFill>
        </w:rPr>
        <w:t>月，组委会和本单位共同开展初审，确定入围终审的晋级作品和团队。</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9</w:t>
      </w:r>
      <w:r>
        <w:rPr>
          <w:rFonts w:hint="eastAsia" w:eastAsia="方正仿宋_GBK"/>
          <w:color w:val="000000" w:themeColor="text1"/>
          <w:sz w:val="32"/>
          <w:szCs w:val="32"/>
          <w:lang w:val="en-US"/>
          <w14:textFill>
            <w14:solidFill>
              <w14:schemeClr w14:val="tx1"/>
            </w14:solidFill>
          </w14:textFill>
        </w:rPr>
        <w:t>月，晋级团队完善作品，冲刺攻关参加终审和</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擂台赛</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。终审环节分别评出特、一、二、三等奖</w:t>
      </w:r>
      <w:r>
        <w:rPr>
          <w:rFonts w:hint="eastAsia" w:eastAsia="方正仿宋_GBK"/>
          <w:color w:val="000000" w:themeColor="text1"/>
          <w:sz w:val="32"/>
          <w:szCs w:val="32"/>
          <w:lang w:val="en-US" w:eastAsia="zh-CN"/>
          <w14:textFill>
            <w14:solidFill>
              <w14:schemeClr w14:val="tx1"/>
            </w14:solidFill>
          </w14:textFill>
        </w:rPr>
        <w:t>若干</w:t>
      </w:r>
      <w:r>
        <w:rPr>
          <w:rFonts w:hint="eastAsia" w:eastAsia="方正仿宋_GBK"/>
          <w:color w:val="000000" w:themeColor="text1"/>
          <w:sz w:val="32"/>
          <w:szCs w:val="32"/>
          <w:lang w:val="en-US"/>
          <w14:textFill>
            <w14:solidFill>
              <w14:schemeClr w14:val="tx1"/>
            </w14:solidFill>
          </w14:textFill>
        </w:rPr>
        <w:t>。获得特等奖的团队晋级最终</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擂台赛</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，并进行现场展示和答辩，评出</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个。</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参赛报名及作品提交方式</w:t>
      </w:r>
    </w:p>
    <w:p>
      <w:pPr>
        <w:pStyle w:val="18"/>
        <w:pageBreakBefore w:val="0"/>
        <w:widowControl/>
        <w:kinsoku/>
        <w:wordWrap/>
        <w:overflowPunct/>
        <w:topLinePunct w:val="0"/>
        <w:autoSpaceDE/>
        <w:autoSpaceDN/>
        <w:bidi w:val="0"/>
        <w:spacing w:line="560" w:lineRule="exact"/>
        <w:ind w:left="0" w:firstLine="640" w:firstLineChars="200"/>
        <w:textAlignment w:val="auto"/>
        <w:rPr>
          <w:color w:val="000000" w:themeColor="text1"/>
          <w:lang w:val="en-US"/>
          <w14:textFill>
            <w14:solidFill>
              <w14:schemeClr w14:val="tx1"/>
            </w14:solidFill>
          </w14:textFill>
        </w:rPr>
      </w:pPr>
      <w:r>
        <w:rPr>
          <w:rFonts w:eastAsia="方正楷体_GBK"/>
          <w:color w:val="000000" w:themeColor="text1"/>
          <w:sz w:val="32"/>
          <w:szCs w:val="32"/>
          <w14:textFill>
            <w14:solidFill>
              <w14:schemeClr w14:val="tx1"/>
            </w14:solidFill>
          </w14:textFill>
        </w:rPr>
        <w:t>1. 网上</w:t>
      </w:r>
      <w:r>
        <w:rPr>
          <w:rFonts w:eastAsia="方正楷体_GBK"/>
          <w:color w:val="000000" w:themeColor="text1"/>
          <w:sz w:val="32"/>
          <w:szCs w:val="32"/>
          <w:lang w:val="en-US"/>
          <w14:textFill>
            <w14:solidFill>
              <w14:schemeClr w14:val="tx1"/>
            </w14:solidFill>
          </w14:textFill>
        </w:rPr>
        <w:t>报名方式</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18"/>
        <w:pageBreakBefore w:val="0"/>
        <w:widowControl/>
        <w:kinsoku/>
        <w:wordWrap/>
        <w:overflowPunct/>
        <w:topLinePunct w:val="0"/>
        <w:autoSpaceDE/>
        <w:autoSpaceDN/>
        <w:bidi w:val="0"/>
        <w:spacing w:line="560" w:lineRule="exact"/>
        <w:ind w:left="0" w:firstLine="640" w:firstLineChars="200"/>
        <w:textAlignment w:val="auto"/>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2. 具体作品提交方式</w:t>
      </w:r>
    </w:p>
    <w:p>
      <w:pPr>
        <w:pageBreakBefore w:val="0"/>
        <w:widowControl/>
        <w:kinsoku/>
        <w:wordWrap/>
        <w:overflowPunct/>
        <w:topLinePunct w:val="0"/>
        <w:autoSpaceDE/>
        <w:autoSpaceDN/>
        <w:bidi w:val="0"/>
        <w:spacing w:line="560" w:lineRule="exact"/>
        <w:ind w:left="0" w:firstLine="640" w:firstLineChars="200"/>
        <w:textAlignment w:val="auto"/>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比赛作品（含研究报告、机器人操作说明、必要的照片及运行视频等）可通过邮件发送至</w:t>
      </w:r>
      <w:r>
        <w:rPr>
          <w:rFonts w:hint="default" w:eastAsia="方正仿宋_GBK"/>
          <w:color w:val="000000" w:themeColor="text1"/>
          <w:sz w:val="32"/>
          <w:szCs w:val="32"/>
          <w:lang w:val="en-US" w:eastAsia="zh-CN"/>
          <w14:textFill>
            <w14:solidFill>
              <w14:schemeClr w14:val="tx1"/>
            </w14:solidFill>
          </w14:textFill>
        </w:rPr>
        <w:t>邮箱sectw@126.com</w:t>
      </w:r>
      <w:r>
        <w:rPr>
          <w:rFonts w:hint="eastAsia" w:eastAsia="方正仿宋_GBK"/>
          <w:color w:val="000000" w:themeColor="text1"/>
          <w:sz w:val="32"/>
          <w:szCs w:val="32"/>
          <w:lang w:val="en-US" w:eastAsia="zh-CN"/>
          <w14:textFill>
            <w14:solidFill>
              <w14:schemeClr w14:val="tx1"/>
            </w14:solidFill>
          </w14:textFill>
        </w:rPr>
        <w:t>，邮件主题请以“挑战杯作品</w:t>
      </w:r>
      <w:r>
        <w:rPr>
          <w:rFonts w:hint="eastAsia" w:eastAsia="方正仿宋_GBK"/>
          <w:bCs/>
          <w:color w:val="000000" w:themeColor="text1"/>
          <w:sz w:val="32"/>
          <w:szCs w:val="32"/>
          <w:highlight w:val="none"/>
          <w:lang w:eastAsia="zh-CN"/>
          <w14:textFill>
            <w14:solidFill>
              <w14:schemeClr w14:val="tx1"/>
            </w14:solidFill>
          </w14:textFill>
        </w:rPr>
        <w:t>－</w:t>
      </w:r>
      <w:r>
        <w:rPr>
          <w:rFonts w:eastAsia="方正仿宋_GBK"/>
          <w:bCs/>
          <w:color w:val="000000" w:themeColor="text1"/>
          <w:sz w:val="32"/>
          <w:szCs w:val="32"/>
          <w:highlight w:val="none"/>
          <w14:textFill>
            <w14:solidFill>
              <w14:schemeClr w14:val="tx1"/>
            </w14:solidFill>
          </w14:textFill>
        </w:rPr>
        <w:t>提报单位（学校全称）</w:t>
      </w:r>
      <w:r>
        <w:rPr>
          <w:rFonts w:hint="eastAsia" w:eastAsia="方正仿宋_GBK"/>
          <w:bCs/>
          <w:color w:val="000000" w:themeColor="text1"/>
          <w:sz w:val="32"/>
          <w:szCs w:val="32"/>
          <w:highlight w:val="none"/>
          <w:lang w:eastAsia="zh-CN"/>
          <w14:textFill>
            <w14:solidFill>
              <w14:schemeClr w14:val="tx1"/>
            </w14:solidFill>
          </w14:textFill>
        </w:rPr>
        <w:t>－</w:t>
      </w:r>
      <w:r>
        <w:rPr>
          <w:rFonts w:eastAsia="方正仿宋_GBK"/>
          <w:bCs/>
          <w:color w:val="000000" w:themeColor="text1"/>
          <w:sz w:val="32"/>
          <w:szCs w:val="32"/>
          <w:highlight w:val="none"/>
          <w14:textFill>
            <w14:solidFill>
              <w14:schemeClr w14:val="tx1"/>
            </w14:solidFill>
          </w14:textFill>
        </w:rPr>
        <w:t>选题名称</w:t>
      </w:r>
      <w:r>
        <w:rPr>
          <w:rFonts w:hint="eastAsia" w:eastAsia="方正仿宋_GBK"/>
          <w:bCs/>
          <w:color w:val="000000" w:themeColor="text1"/>
          <w:sz w:val="32"/>
          <w:szCs w:val="32"/>
          <w:highlight w:val="none"/>
          <w:lang w:eastAsia="zh-CN"/>
          <w14:textFill>
            <w14:solidFill>
              <w14:schemeClr w14:val="tx1"/>
            </w14:solidFill>
          </w14:textFill>
        </w:rPr>
        <w:t>－</w:t>
      </w:r>
      <w:r>
        <w:rPr>
          <w:rFonts w:eastAsia="方正仿宋_GBK"/>
          <w:bCs/>
          <w:color w:val="000000" w:themeColor="text1"/>
          <w:sz w:val="32"/>
          <w:szCs w:val="32"/>
          <w:highlight w:val="none"/>
          <w14:textFill>
            <w14:solidFill>
              <w14:schemeClr w14:val="tx1"/>
            </w14:solidFill>
          </w14:textFill>
        </w:rPr>
        <w:t>作品名称</w:t>
      </w:r>
      <w:r>
        <w:rPr>
          <w:rFonts w:hint="eastAsia" w:eastAsia="方正仿宋_GBK"/>
          <w:color w:val="000000" w:themeColor="text1"/>
          <w:sz w:val="32"/>
          <w:szCs w:val="32"/>
          <w:lang w:val="en-US" w:eastAsia="zh-CN"/>
          <w14:textFill>
            <w14:solidFill>
              <w14:schemeClr w14:val="tx1"/>
            </w14:solidFill>
          </w14:textFill>
        </w:rPr>
        <w:t>”的格式命名，若文件较大可另附网盘链接。实物作品的提交和评审待后续进一步通知。</w:t>
      </w:r>
    </w:p>
    <w:p>
      <w:pPr>
        <w:pageBreakBefore w:val="0"/>
        <w:widowControl/>
        <w:kinsoku/>
        <w:wordWrap/>
        <w:overflowPunct/>
        <w:topLinePunct w:val="0"/>
        <w:autoSpaceDE/>
        <w:autoSpaceDN/>
        <w:bidi w:val="0"/>
        <w:spacing w:line="560" w:lineRule="exact"/>
        <w:ind w:left="0" w:firstLine="640" w:firstLineChars="200"/>
        <w:textAlignment w:val="auto"/>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邮件</w:t>
      </w:r>
      <w:r>
        <w:rPr>
          <w:rFonts w:eastAsia="方正仿宋_GBK"/>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赛事保障</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对于参加本项目的参赛团队，本单位可以根据团队的实际需求，在参观交流、相关资料（不涉密）、专业指导以及其他项目必须条件等方面提供帮助。</w:t>
      </w:r>
    </w:p>
    <w:p>
      <w:pPr>
        <w:pageBreakBefore w:val="0"/>
        <w:widowControl/>
        <w:kinsoku/>
        <w:wordWrap/>
        <w:overflowPunct/>
        <w:topLinePunct w:val="0"/>
        <w:autoSpaceDE/>
        <w:autoSpaceDN/>
        <w:bidi w:val="0"/>
        <w:spacing w:line="560" w:lineRule="exact"/>
        <w:ind w:left="0" w:firstLine="664" w:firstLineChars="200"/>
        <w:jc w:val="both"/>
        <w:textAlignment w:val="auto"/>
        <w:rPr>
          <w:rFonts w:hint="eastAsia" w:ascii="方正仿宋_GBK" w:eastAsia="方正仿宋_GBK"/>
          <w:bCs/>
          <w:color w:val="000000"/>
          <w:spacing w:val="6"/>
          <w:sz w:val="32"/>
          <w:szCs w:val="32"/>
        </w:rPr>
      </w:pPr>
      <w:r>
        <w:rPr>
          <w:rFonts w:hint="eastAsia" w:ascii="方正仿宋_GBK" w:eastAsia="方正仿宋_GBK"/>
          <w:bCs/>
          <w:color w:val="000000"/>
          <w:spacing w:val="6"/>
          <w:sz w:val="32"/>
          <w:szCs w:val="32"/>
        </w:rPr>
        <w:t>参赛团队可在比赛进行期间，提前两周时间向上海电气集团股份有限公司递交参观交流申请，经审批同意后，可赴上海电气集团相关企业进行参观交流。</w:t>
      </w:r>
    </w:p>
    <w:p>
      <w:pPr>
        <w:pageBreakBefore w:val="0"/>
        <w:widowControl/>
        <w:kinsoku/>
        <w:wordWrap/>
        <w:overflowPunct/>
        <w:topLinePunct w:val="0"/>
        <w:autoSpaceDE/>
        <w:autoSpaceDN/>
        <w:bidi w:val="0"/>
        <w:spacing w:line="560" w:lineRule="exact"/>
        <w:ind w:left="0" w:firstLine="664"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ascii="方正仿宋_GBK" w:eastAsia="方正仿宋_GBK"/>
          <w:bCs/>
          <w:color w:val="000000"/>
          <w:spacing w:val="6"/>
          <w:sz w:val="32"/>
          <w:szCs w:val="32"/>
        </w:rPr>
        <w:t>参赛过程中，参赛团队如需</w:t>
      </w:r>
      <w:r>
        <w:rPr>
          <w:rFonts w:hint="eastAsia" w:ascii="方正仿宋_GBK" w:eastAsia="方正仿宋_GBK"/>
          <w:bCs/>
          <w:color w:val="000000"/>
          <w:spacing w:val="6"/>
          <w:sz w:val="32"/>
          <w:szCs w:val="32"/>
          <w:lang w:val="en-US" w:eastAsia="zh-CN"/>
        </w:rPr>
        <w:t>企业</w:t>
      </w:r>
      <w:r>
        <w:rPr>
          <w:rFonts w:hint="eastAsia" w:ascii="方正仿宋_GBK" w:eastAsia="方正仿宋_GBK"/>
          <w:bCs/>
          <w:color w:val="000000"/>
          <w:spacing w:val="6"/>
          <w:sz w:val="32"/>
          <w:szCs w:val="32"/>
        </w:rPr>
        <w:t>提供与项目相关的其他必</w:t>
      </w:r>
      <w:r>
        <w:rPr>
          <w:rFonts w:hint="eastAsia" w:ascii="方正仿宋_GBK" w:eastAsia="方正仿宋_GBK"/>
          <w:bCs/>
          <w:color w:val="000000"/>
          <w:spacing w:val="6"/>
          <w:sz w:val="32"/>
          <w:szCs w:val="32"/>
          <w:lang w:val="en-US" w:eastAsia="zh-CN"/>
        </w:rPr>
        <w:t>要</w:t>
      </w:r>
      <w:r>
        <w:rPr>
          <w:rFonts w:hint="eastAsia" w:ascii="方正仿宋_GBK" w:eastAsia="方正仿宋_GBK"/>
          <w:bCs/>
          <w:color w:val="000000"/>
          <w:spacing w:val="6"/>
          <w:sz w:val="32"/>
          <w:szCs w:val="32"/>
        </w:rPr>
        <w:t>帮助，请提前与上海电气集团团委联系，本单位将在许可范围内给予参赛团队帮助。</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设奖情况及奖励措施</w:t>
      </w:r>
    </w:p>
    <w:p>
      <w:pPr>
        <w:pStyle w:val="4"/>
        <w:pageBreakBefore w:val="0"/>
        <w:widowControl/>
        <w:numPr>
          <w:ilvl w:val="0"/>
          <w:numId w:val="4"/>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原则上设特等奖5个，</w:t>
      </w:r>
      <w:r>
        <w:rPr>
          <w:rFonts w:hint="eastAsia" w:eastAsia="方正仿宋_GBK"/>
          <w:color w:val="auto"/>
          <w:sz w:val="32"/>
          <w:szCs w:val="32"/>
          <w:highlight w:val="none"/>
          <w:lang w:val="en-US" w:eastAsia="zh-CN"/>
        </w:rPr>
        <w:t>一、二、三等奖</w:t>
      </w:r>
      <w:r>
        <w:rPr>
          <w:rFonts w:eastAsia="方正仿宋_GBK"/>
          <w:color w:val="auto"/>
          <w:sz w:val="32"/>
          <w:szCs w:val="32"/>
          <w:highlight w:val="none"/>
          <w:lang w:val="en-US"/>
        </w:rPr>
        <w:t>若干</w:t>
      </w:r>
      <w:r>
        <w:rPr>
          <w:rFonts w:eastAsia="方正仿宋_GBK"/>
          <w:color w:val="000000" w:themeColor="text1"/>
          <w:sz w:val="32"/>
          <w:szCs w:val="32"/>
          <w:lang w:val="en-US"/>
          <w14:textFill>
            <w14:solidFill>
              <w14:schemeClr w14:val="tx1"/>
            </w14:solidFill>
          </w14:textFill>
        </w:rPr>
        <w:t>，从特等奖获奖团队中决出1个</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w:t>
      </w:r>
    </w:p>
    <w:p>
      <w:pPr>
        <w:pStyle w:val="4"/>
        <w:pageBreakBefore w:val="0"/>
        <w:widowControl/>
        <w:numPr>
          <w:ilvl w:val="0"/>
          <w:numId w:val="4"/>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pageBreakBefore w:val="0"/>
        <w:widowControl/>
        <w:kinsoku/>
        <w:wordWrap/>
        <w:overflowPunct/>
        <w:topLinePunct w:val="0"/>
        <w:autoSpaceDE/>
        <w:autoSpaceDN/>
        <w:bidi w:val="0"/>
        <w:adjustRightInd w:val="0"/>
        <w:snapToGrid w:val="0"/>
        <w:spacing w:line="560" w:lineRule="exact"/>
        <w:ind w:left="0" w:firstLine="664" w:firstLineChars="200"/>
        <w:textAlignment w:val="auto"/>
        <w:rPr>
          <w:rFonts w:hint="default" w:ascii="Times New Roman" w:hAnsi="Times New Roman" w:eastAsia="方正仿宋_GBK"/>
          <w:bCs/>
          <w:color w:val="000000"/>
          <w:spacing w:val="6"/>
          <w:sz w:val="32"/>
          <w:szCs w:val="32"/>
          <w:lang w:val="en-US" w:eastAsia="zh-CN"/>
        </w:rPr>
      </w:pPr>
      <w:r>
        <w:rPr>
          <w:rFonts w:hint="eastAsia" w:eastAsia="方正仿宋_GBK"/>
          <w:bCs/>
          <w:color w:val="000000"/>
          <w:spacing w:val="6"/>
          <w:sz w:val="32"/>
          <w:szCs w:val="32"/>
          <w:lang w:val="en-US" w:eastAsia="zh-CN"/>
        </w:rPr>
        <w:t>本单位将结合项目实际，奖励特等</w:t>
      </w:r>
      <w:r>
        <w:rPr>
          <w:rFonts w:hint="eastAsia" w:ascii="Times New Roman" w:hAnsi="Times New Roman" w:eastAsia="方正仿宋_GBK"/>
          <w:bCs/>
          <w:color w:val="000000"/>
          <w:spacing w:val="6"/>
          <w:sz w:val="32"/>
          <w:szCs w:val="32"/>
        </w:rPr>
        <w:t>奖</w:t>
      </w:r>
      <w:r>
        <w:rPr>
          <w:rFonts w:hint="eastAsia" w:eastAsia="方正仿宋_GBK"/>
          <w:bCs/>
          <w:color w:val="000000"/>
          <w:spacing w:val="6"/>
          <w:sz w:val="32"/>
          <w:szCs w:val="32"/>
          <w:lang w:val="en-US" w:eastAsia="zh-CN"/>
        </w:rPr>
        <w:t>每支队伍1万</w:t>
      </w:r>
      <w:r>
        <w:rPr>
          <w:rFonts w:hint="eastAsia" w:ascii="Times New Roman" w:hAnsi="Times New Roman" w:eastAsia="方正仿宋_GBK"/>
          <w:bCs/>
          <w:color w:val="000000"/>
          <w:spacing w:val="6"/>
          <w:sz w:val="32"/>
          <w:szCs w:val="32"/>
        </w:rPr>
        <w:t>元，</w:t>
      </w:r>
      <w:r>
        <w:rPr>
          <w:rFonts w:hint="eastAsia" w:eastAsia="方正仿宋_GBK"/>
          <w:bCs/>
          <w:color w:val="000000"/>
          <w:spacing w:val="6"/>
          <w:sz w:val="32"/>
          <w:szCs w:val="32"/>
          <w:lang w:val="en-US" w:eastAsia="zh-CN"/>
        </w:rPr>
        <w:t>一等奖每支队伍0.8万元，二等奖每支队伍0.5万元，三等奖每支队伍0.3万元；“擂主”队伍额外奖励1万元。</w:t>
      </w:r>
    </w:p>
    <w:p>
      <w:pPr>
        <w:pageBreakBefore w:val="0"/>
        <w:widowControl/>
        <w:kinsoku/>
        <w:wordWrap/>
        <w:overflowPunct/>
        <w:topLinePunct w:val="0"/>
        <w:autoSpaceDE/>
        <w:autoSpaceDN/>
        <w:bidi w:val="0"/>
        <w:adjustRightInd w:val="0"/>
        <w:snapToGrid w:val="0"/>
        <w:spacing w:line="560" w:lineRule="exact"/>
        <w:ind w:left="0" w:firstLine="664" w:firstLineChars="200"/>
        <w:textAlignment w:val="auto"/>
        <w:rPr>
          <w:rFonts w:ascii="方正仿宋_GBK" w:eastAsia="方正仿宋_GBK"/>
          <w:bCs/>
          <w:color w:val="000000"/>
          <w:spacing w:val="6"/>
          <w:sz w:val="32"/>
          <w:szCs w:val="32"/>
        </w:rPr>
      </w:pPr>
      <w:r>
        <w:rPr>
          <w:rFonts w:hint="eastAsia" w:ascii="Times New Roman" w:hAnsi="Times New Roman" w:eastAsia="方正仿宋_GBK"/>
          <w:bCs/>
          <w:color w:val="000000"/>
          <w:spacing w:val="6"/>
          <w:sz w:val="32"/>
          <w:szCs w:val="32"/>
        </w:rPr>
        <w:t>对于选择本题目的学生可优先安排实习工作，对获奖且有意愿到公司工作的学生可优先录用。</w:t>
      </w:r>
    </w:p>
    <w:p>
      <w:pPr>
        <w:pStyle w:val="4"/>
        <w:pageBreakBefore w:val="0"/>
        <w:widowControl/>
        <w:numPr>
          <w:ilvl w:val="0"/>
          <w:numId w:val="4"/>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所有现金奖励将在比赛结束后1个季度内，通过银行转账的方式，发放至各获奖团队指定的账号。</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Style w:val="4"/>
        <w:pageBreakBefore w:val="0"/>
        <w:widowControl/>
        <w:numPr>
          <w:ilvl w:val="0"/>
          <w:numId w:val="5"/>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专家指导团队</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highlight w:val="none"/>
          <w:lang w:val="en-US"/>
          <w14:textFill>
            <w14:solidFill>
              <w14:schemeClr w14:val="tx1"/>
            </w14:solidFill>
          </w14:textFill>
        </w:rPr>
      </w:pPr>
      <w:r>
        <w:rPr>
          <w:rFonts w:eastAsia="方正仿宋_GBK"/>
          <w:color w:val="000000" w:themeColor="text1"/>
          <w:sz w:val="32"/>
          <w:szCs w:val="32"/>
          <w:highlight w:val="none"/>
          <w:lang w:val="en-US"/>
          <w14:textFill>
            <w14:solidFill>
              <w14:schemeClr w14:val="tx1"/>
            </w14:solidFill>
          </w14:textFill>
        </w:rPr>
        <w:t>联络专员：</w:t>
      </w:r>
      <w:r>
        <w:rPr>
          <w:rFonts w:hint="eastAsia" w:eastAsia="方正仿宋_GBK"/>
          <w:color w:val="000000" w:themeColor="text1"/>
          <w:sz w:val="32"/>
          <w:szCs w:val="32"/>
          <w:highlight w:val="none"/>
          <w:lang w:val="en-US"/>
          <w14:textFill>
            <w14:solidFill>
              <w14:schemeClr w14:val="tx1"/>
            </w14:solidFill>
          </w14:textFill>
        </w:rPr>
        <w:t>张</w:t>
      </w:r>
      <w:r>
        <w:rPr>
          <w:rFonts w:eastAsia="方正仿宋_GBK"/>
          <w:color w:val="000000" w:themeColor="text1"/>
          <w:sz w:val="32"/>
          <w:szCs w:val="32"/>
          <w:highlight w:val="none"/>
          <w:lang w:val="en-US"/>
          <w14:textFill>
            <w14:solidFill>
              <w14:schemeClr w14:val="tx1"/>
            </w14:solidFill>
          </w14:textFill>
        </w:rPr>
        <w:t>老师，联系方式：</w:t>
      </w:r>
      <w:r>
        <w:rPr>
          <w:rFonts w:hint="eastAsia" w:eastAsia="方正仿宋_GBK"/>
          <w:color w:val="000000" w:themeColor="text1"/>
          <w:sz w:val="32"/>
          <w:szCs w:val="32"/>
          <w:highlight w:val="none"/>
          <w:lang w:val="en-US"/>
          <w14:textFill>
            <w14:solidFill>
              <w14:schemeClr w14:val="tx1"/>
            </w14:solidFill>
          </w14:textFill>
        </w:rPr>
        <w:t>139 1721 3527</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highlight w:val="yellow"/>
          <w:lang w:val="en-US"/>
          <w14:textFill>
            <w14:solidFill>
              <w14:schemeClr w14:val="tx1"/>
            </w14:solidFill>
          </w14:textFill>
        </w:rPr>
      </w:pPr>
      <w:r>
        <w:rPr>
          <w:rFonts w:eastAsia="方正仿宋_GBK"/>
          <w:color w:val="000000" w:themeColor="text1"/>
          <w:sz w:val="32"/>
          <w:szCs w:val="32"/>
          <w:highlight w:val="none"/>
          <w:lang w:val="en-US"/>
          <w14:textFill>
            <w14:solidFill>
              <w14:schemeClr w14:val="tx1"/>
            </w14:solidFill>
          </w14:textFill>
        </w:rPr>
        <w:t>指导专家：</w:t>
      </w:r>
      <w:r>
        <w:rPr>
          <w:rFonts w:hint="eastAsia" w:eastAsia="方正仿宋_GBK"/>
          <w:color w:val="000000" w:themeColor="text1"/>
          <w:sz w:val="32"/>
          <w:szCs w:val="32"/>
          <w:highlight w:val="none"/>
          <w:lang w:val="en-US"/>
          <w14:textFill>
            <w14:solidFill>
              <w14:schemeClr w14:val="tx1"/>
            </w14:solidFill>
          </w14:textFill>
        </w:rPr>
        <w:t>张</w:t>
      </w:r>
      <w:r>
        <w:rPr>
          <w:rFonts w:eastAsia="方正仿宋_GBK"/>
          <w:color w:val="000000" w:themeColor="text1"/>
          <w:sz w:val="32"/>
          <w:szCs w:val="32"/>
          <w:highlight w:val="none"/>
          <w:lang w:val="en-US"/>
          <w14:textFill>
            <w14:solidFill>
              <w14:schemeClr w14:val="tx1"/>
            </w14:solidFill>
          </w14:textFill>
        </w:rPr>
        <w:t>老师，联系方式：</w:t>
      </w:r>
      <w:r>
        <w:rPr>
          <w:rFonts w:hint="eastAsia" w:eastAsia="方正仿宋_GBK"/>
          <w:color w:val="000000" w:themeColor="text1"/>
          <w:sz w:val="32"/>
          <w:szCs w:val="32"/>
          <w:highlight w:val="none"/>
          <w:lang w:val="en-US"/>
          <w14:textFill>
            <w14:solidFill>
              <w14:schemeClr w14:val="tx1"/>
            </w14:solidFill>
          </w14:textFill>
        </w:rPr>
        <w:t>139 1721 3527</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负责比赛进行期间技术指导保障。</w:t>
      </w:r>
    </w:p>
    <w:p>
      <w:pPr>
        <w:pStyle w:val="4"/>
        <w:pageBreakBefore w:val="0"/>
        <w:widowControl/>
        <w:numPr>
          <w:ilvl w:val="0"/>
          <w:numId w:val="5"/>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赛事服务团队</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eastAsia="zh-CN"/>
          <w14:textFill>
            <w14:solidFill>
              <w14:schemeClr w14:val="tx1"/>
            </w14:solidFill>
          </w14:textFill>
        </w:rPr>
        <w:t>应</w:t>
      </w:r>
      <w:r>
        <w:rPr>
          <w:rFonts w:eastAsia="方正仿宋_GBK"/>
          <w:color w:val="000000" w:themeColor="text1"/>
          <w:sz w:val="32"/>
          <w:szCs w:val="32"/>
          <w:lang w:val="en-US"/>
          <w14:textFill>
            <w14:solidFill>
              <w14:schemeClr w14:val="tx1"/>
            </w14:solidFill>
          </w14:textFill>
        </w:rPr>
        <w:t>老师，联系方式：0</w:t>
      </w:r>
      <w:r>
        <w:rPr>
          <w:rFonts w:hint="eastAsia" w:eastAsia="方正仿宋_GBK"/>
          <w:color w:val="000000" w:themeColor="text1"/>
          <w:sz w:val="32"/>
          <w:szCs w:val="32"/>
          <w:lang w:val="en-US" w:eastAsia="zh-CN"/>
          <w14:textFill>
            <w14:solidFill>
              <w14:schemeClr w14:val="tx1"/>
            </w14:solidFill>
          </w14:textFill>
        </w:rPr>
        <w:t>21</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33261271</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pStyle w:val="4"/>
        <w:pageBreakBefore w:val="0"/>
        <w:widowControl/>
        <w:numPr>
          <w:ilvl w:val="0"/>
          <w:numId w:val="5"/>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联系时间</w:t>
      </w:r>
    </w:p>
    <w:p>
      <w:pPr>
        <w:pageBreakBefore w:val="0"/>
        <w:widowControl/>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w:t>
      </w:r>
      <w:r>
        <w:rPr>
          <w:rFonts w:hint="eastAsia" w:eastAsia="方正仿宋_GBK"/>
          <w:color w:val="000000" w:themeColor="text1"/>
          <w:sz w:val="32"/>
          <w:szCs w:val="32"/>
          <w:lang w:val="en-US" w:eastAsia="zh-CN"/>
          <w14:textFill>
            <w14:solidFill>
              <w14:schemeClr w14:val="tx1"/>
            </w14:solidFill>
          </w14:textFill>
        </w:rPr>
        <w:t>9</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0</w:t>
      </w:r>
      <w:r>
        <w:rPr>
          <w:rFonts w:eastAsia="方正仿宋_GBK"/>
          <w:color w:val="000000" w:themeColor="text1"/>
          <w:sz w:val="32"/>
          <w:szCs w:val="32"/>
          <w:lang w:val="en-US"/>
          <w14:textFill>
            <w14:solidFill>
              <w14:schemeClr w14:val="tx1"/>
            </w14:solidFill>
          </w14:textFill>
        </w:rPr>
        <w:t>0-11:30，1</w:t>
      </w:r>
      <w:r>
        <w:rPr>
          <w:rFonts w:hint="eastAsia" w:eastAsia="方正仿宋_GBK"/>
          <w:color w:val="000000" w:themeColor="text1"/>
          <w:sz w:val="32"/>
          <w:szCs w:val="32"/>
          <w:lang w:val="en-US" w:eastAsia="zh-CN"/>
          <w14:textFill>
            <w14:solidFill>
              <w14:schemeClr w14:val="tx1"/>
            </w14:solidFill>
          </w14:textFill>
        </w:rPr>
        <w:t>3</w:t>
      </w:r>
      <w:r>
        <w:rPr>
          <w:rFonts w:eastAsia="方正仿宋_GBK"/>
          <w:color w:val="000000" w:themeColor="text1"/>
          <w:sz w:val="32"/>
          <w:szCs w:val="32"/>
          <w:lang w:val="en-US"/>
          <w14:textFill>
            <w14:solidFill>
              <w14:schemeClr w14:val="tx1"/>
            </w14:solidFill>
          </w14:textFill>
        </w:rPr>
        <w:t>:00-1</w:t>
      </w:r>
      <w:r>
        <w:rPr>
          <w:rFonts w:hint="eastAsia" w:eastAsia="方正仿宋_GBK"/>
          <w:color w:val="000000" w:themeColor="text1"/>
          <w:sz w:val="32"/>
          <w:szCs w:val="32"/>
          <w:lang w:val="en-US" w:eastAsia="zh-CN"/>
          <w14:textFill>
            <w14:solidFill>
              <w14:schemeClr w14:val="tx1"/>
            </w14:solidFill>
          </w14:textFill>
        </w:rPr>
        <w:t>6</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0</w:t>
      </w:r>
      <w:r>
        <w:rPr>
          <w:rFonts w:eastAsia="方正仿宋_GBK"/>
          <w:color w:val="000000" w:themeColor="text1"/>
          <w:sz w:val="32"/>
          <w:szCs w:val="32"/>
          <w:lang w:val="en-US"/>
          <w14:textFill>
            <w14:solidFill>
              <w14:schemeClr w14:val="tx1"/>
            </w14:solidFill>
          </w14:textFill>
        </w:rPr>
        <w:t>0）</w:t>
      </w: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bookmarkStart w:id="0" w:name="_GoBack"/>
      <w:bookmarkEnd w:id="0"/>
    </w:p>
    <w:p>
      <w:pPr>
        <w:pStyle w:val="3"/>
        <w:numPr>
          <w:ilvl w:val="255"/>
          <w:numId w:val="0"/>
        </w:numPr>
        <w:jc w:val="right"/>
        <w:rPr>
          <w:rFonts w:ascii="Times New Roman" w:hAnsi="Times New Roman" w:eastAsia="方正仿宋简体"/>
          <w:color w:val="000000" w:themeColor="text1"/>
          <w:lang w:val="en-US"/>
          <w14:textFill>
            <w14:solidFill>
              <w14:schemeClr w14:val="tx1"/>
            </w14:solidFill>
          </w14:textFill>
        </w:rPr>
      </w:pPr>
      <w:r>
        <w:rPr>
          <w:rFonts w:hint="eastAsia" w:ascii="Times New Roman" w:hAnsi="Times New Roman" w:eastAsia="方正仿宋_GBK"/>
          <w:color w:val="000000" w:themeColor="text1"/>
          <w:szCs w:val="32"/>
          <w:lang w:val="en-US" w:eastAsia="zh-CN"/>
          <w14:textFill>
            <w14:solidFill>
              <w14:schemeClr w14:val="tx1"/>
            </w14:solidFill>
          </w14:textFill>
        </w:rPr>
        <w:t>上海电气集团股份有限公司</w:t>
      </w:r>
      <w:r>
        <w:rPr>
          <w:rFonts w:ascii="Times New Roman" w:hAnsi="Times New Roman" w:eastAsia="方正仿宋_GBK"/>
          <w:color w:val="000000" w:themeColor="text1"/>
          <w:szCs w:val="32"/>
          <w:lang w:val="en-US"/>
          <w14:textFill>
            <w14:solidFill>
              <w14:schemeClr w14:val="tx1"/>
            </w14:solidFill>
          </w14:textFill>
        </w:rPr>
        <w:t xml:space="preserve"> </w:t>
      </w:r>
    </w:p>
    <w:p>
      <w:pPr>
        <w:spacing w:line="560" w:lineRule="exact"/>
        <w:rPr>
          <w:rFonts w:eastAsia="方正黑体_GBK"/>
          <w:color w:val="000000" w:themeColor="text1"/>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14:textFill>
            <w14:solidFill>
              <w14:schemeClr w14:val="tx1"/>
            </w14:solidFill>
          </w14:textFill>
        </w:rPr>
      </w:pPr>
    </w:p>
    <w:p>
      <w:pPr>
        <w:rPr>
          <w:rFonts w:eastAsia="方正黑体_GBK"/>
          <w:color w:val="000000" w:themeColor="text1"/>
          <w:lang w:val="en-US"/>
          <w14:textFill>
            <w14:solidFill>
              <w14:schemeClr w14:val="tx1"/>
            </w14:solidFill>
          </w14:textFill>
        </w:rPr>
        <w:sectPr>
          <w:footerReference r:id="rId3" w:type="default"/>
          <w:type w:val="continuous"/>
          <w:pgSz w:w="11906" w:h="16838"/>
          <w:pgMar w:top="1984" w:right="1587" w:bottom="1984" w:left="1587" w:header="851" w:footer="992" w:gutter="0"/>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spacing w:line="520" w:lineRule="exact"/>
        <w:ind w:firstLine="640" w:firstLineChars="200"/>
        <w:jc w:val="both"/>
        <w:rPr>
          <w:rFonts w:hint="eastAsia" w:eastAsia="方正仿宋_GBK"/>
          <w:color w:val="000000" w:themeColor="text1"/>
          <w:sz w:val="32"/>
          <w:szCs w:val="32"/>
          <w:lang w:val="en-US"/>
          <w14:textFill>
            <w14:solidFill>
              <w14:schemeClr w14:val="tx1"/>
            </w14:solidFill>
          </w14:textFill>
        </w:rPr>
      </w:pPr>
    </w:p>
    <w:p>
      <w:pPr>
        <w:spacing w:line="520" w:lineRule="exact"/>
        <w:ind w:firstLine="640" w:firstLineChars="200"/>
        <w:jc w:val="both"/>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上海电气是全球领先的工业级绿色智能系统解决方案提供商，专注于智慧能源、智能制造、数智集成三大业务领域，业务遍及全球。公司聚焦高端、智能、绿色的发展方向，以科技赋能推动中国及全球工业高质量发展，为人类美好生活创造绿色可持续价值。</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作为中国动力工业的摇篮，上海电气有着120多年的历史，创造了众多中国和世界第一，荣获中国工业大奖，品牌价值达1725.81亿元，位列中国机械行业榜首。在智慧能源领域，我们打造风光储氢多能互补和源网荷储一体化解决方案，构建遍布全球的</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全方位</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新型电力系统和</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立体式</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零碳产业园区；在智能制造领域，我们提供锂电产线、数字医疗、轨道交通及通用装备系统解决方案；在数智集成领域，我们以扎实的极限制造能力成为新能源汽车产业链、大飞机产业链、现代船舶产业链及数字化解决方案提供商。秉承</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开放协同、合作共赢</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的理念，上海电气携手70多家世界一流企业，协同全球客户、合作伙伴、员工等创造者，赋能全球创新与绿色可持续发展。</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embedRegular r:id="rId1" w:fontKey="{4379DE35-781E-45AD-B6F2-FF4511AE5C04}"/>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embedRegular r:id="rId2" w:fontKey="{2C645640-ABB7-4ACE-8C7B-5F20A36046ED}"/>
  </w:font>
  <w:font w:name="方正大标宋_GBK">
    <w:panose1 w:val="03000509000000000000"/>
    <w:charset w:val="86"/>
    <w:family w:val="script"/>
    <w:pitch w:val="default"/>
    <w:sig w:usb0="00000001" w:usb1="080E0000" w:usb2="00000000" w:usb3="00000000" w:csb0="00040000" w:csb1="00000000"/>
    <w:embedRegular r:id="rId3" w:fontKey="{071CDF78-E171-44FA-BC77-47082B98B966}"/>
  </w:font>
  <w:font w:name="方正仿宋_GBK">
    <w:panose1 w:val="02000000000000000000"/>
    <w:charset w:val="86"/>
    <w:family w:val="script"/>
    <w:pitch w:val="default"/>
    <w:sig w:usb0="A00002BF" w:usb1="38CF7CFA" w:usb2="00082016" w:usb3="00000000" w:csb0="00040001" w:csb1="00000000"/>
    <w:embedRegular r:id="rId4" w:fontKey="{8ECA5906-B89A-428D-9189-D1DD5F8CE483}"/>
  </w:font>
  <w:font w:name="方正黑体_GBK">
    <w:panose1 w:val="02000000000000000000"/>
    <w:charset w:val="86"/>
    <w:family w:val="script"/>
    <w:pitch w:val="default"/>
    <w:sig w:usb0="A00002BF" w:usb1="38CF7CFA" w:usb2="00082016" w:usb3="00000000" w:csb0="00040001" w:csb1="00000000"/>
    <w:embedRegular r:id="rId5" w:fontKey="{15645F47-E81C-4B13-A612-7B9ADB063BA9}"/>
  </w:font>
  <w:font w:name="方正仿宋简体">
    <w:panose1 w:val="02000000000000000000"/>
    <w:charset w:val="86"/>
    <w:family w:val="auto"/>
    <w:pitch w:val="default"/>
    <w:sig w:usb0="A00002BF" w:usb1="184F6CFA" w:usb2="00000012" w:usb3="00000000" w:csb0="00040001" w:csb1="00000000"/>
    <w:embedRegular r:id="rId6" w:fontKey="{B83F0371-A3B9-4A30-ABEF-E20D1F12612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sz w:val="24"/>
        <w:szCs w:val="24"/>
      </w:rPr>
    </w:pP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9C9C2"/>
    <w:multiLevelType w:val="singleLevel"/>
    <w:tmpl w:val="DD99C9C2"/>
    <w:lvl w:ilvl="0" w:tentative="0">
      <w:start w:val="1"/>
      <w:numFmt w:val="decimal"/>
      <w:suff w:val="space"/>
      <w:lvlText w:val="%1."/>
      <w:lvlJc w:val="left"/>
    </w:lvl>
  </w:abstractNum>
  <w:abstractNum w:abstractNumId="1">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2">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num w:numId="1">
    <w:abstractNumId w:val="1"/>
  </w:num>
  <w:num w:numId="2">
    <w:abstractNumId w:val="2"/>
  </w:num>
  <w:num w:numId="3">
    <w:abstractNumId w:val="0"/>
  </w:num>
  <w:num w:numId="4">
    <w:abstractNumId w:val="2"/>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E6DDA"/>
    <w:rsid w:val="007216F0"/>
    <w:rsid w:val="0073249A"/>
    <w:rsid w:val="00746651"/>
    <w:rsid w:val="00765C33"/>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634B"/>
    <w:rsid w:val="00BF4E2D"/>
    <w:rsid w:val="00C217F1"/>
    <w:rsid w:val="00C24C93"/>
    <w:rsid w:val="00C60328"/>
    <w:rsid w:val="00C678B8"/>
    <w:rsid w:val="00C81301"/>
    <w:rsid w:val="00C82B11"/>
    <w:rsid w:val="00C90F03"/>
    <w:rsid w:val="00C97BA0"/>
    <w:rsid w:val="00CB5FAC"/>
    <w:rsid w:val="00D05DE3"/>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A260073"/>
    <w:rsid w:val="0A8F7AAE"/>
    <w:rsid w:val="0A915F34"/>
    <w:rsid w:val="0AD671E5"/>
    <w:rsid w:val="0B2B6586"/>
    <w:rsid w:val="0B4A5469"/>
    <w:rsid w:val="0B6B3F04"/>
    <w:rsid w:val="0B6F69F0"/>
    <w:rsid w:val="0B8F177D"/>
    <w:rsid w:val="0C645CC6"/>
    <w:rsid w:val="0C955B7E"/>
    <w:rsid w:val="0CAD1E5B"/>
    <w:rsid w:val="0D09135F"/>
    <w:rsid w:val="0D4764C0"/>
    <w:rsid w:val="0D4977E2"/>
    <w:rsid w:val="0D7E4529"/>
    <w:rsid w:val="0DA54A80"/>
    <w:rsid w:val="0DCF4D92"/>
    <w:rsid w:val="0E543A4D"/>
    <w:rsid w:val="0EA43155"/>
    <w:rsid w:val="0EDC0AFF"/>
    <w:rsid w:val="0EF0331F"/>
    <w:rsid w:val="0F78357E"/>
    <w:rsid w:val="0FA66A75"/>
    <w:rsid w:val="0FB12E15"/>
    <w:rsid w:val="106C4753"/>
    <w:rsid w:val="10772CDB"/>
    <w:rsid w:val="107A0F05"/>
    <w:rsid w:val="107F47F9"/>
    <w:rsid w:val="10911328"/>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B8423D"/>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072CC"/>
    <w:rsid w:val="22E55DA3"/>
    <w:rsid w:val="231F12DE"/>
    <w:rsid w:val="23531B69"/>
    <w:rsid w:val="23835AF5"/>
    <w:rsid w:val="23991047"/>
    <w:rsid w:val="23B107E7"/>
    <w:rsid w:val="23B940CE"/>
    <w:rsid w:val="242F1397"/>
    <w:rsid w:val="25324A72"/>
    <w:rsid w:val="2604714B"/>
    <w:rsid w:val="26680B0E"/>
    <w:rsid w:val="276607BD"/>
    <w:rsid w:val="27707807"/>
    <w:rsid w:val="277E3A4E"/>
    <w:rsid w:val="28A44C56"/>
    <w:rsid w:val="29095901"/>
    <w:rsid w:val="290F58EC"/>
    <w:rsid w:val="29712213"/>
    <w:rsid w:val="2A641BAA"/>
    <w:rsid w:val="2A85768A"/>
    <w:rsid w:val="2B0E3A48"/>
    <w:rsid w:val="2B2B347E"/>
    <w:rsid w:val="2B5841C1"/>
    <w:rsid w:val="2B9C2019"/>
    <w:rsid w:val="2BAC2E33"/>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19B4BC3"/>
    <w:rsid w:val="32047B94"/>
    <w:rsid w:val="32886AF3"/>
    <w:rsid w:val="32EF5010"/>
    <w:rsid w:val="33020A40"/>
    <w:rsid w:val="33047391"/>
    <w:rsid w:val="333332D8"/>
    <w:rsid w:val="333C43C8"/>
    <w:rsid w:val="338737FF"/>
    <w:rsid w:val="347270AC"/>
    <w:rsid w:val="34947E0B"/>
    <w:rsid w:val="34A400A9"/>
    <w:rsid w:val="34DB3F90"/>
    <w:rsid w:val="350D59DC"/>
    <w:rsid w:val="351116A8"/>
    <w:rsid w:val="359C73A0"/>
    <w:rsid w:val="35F73B2D"/>
    <w:rsid w:val="36160F00"/>
    <w:rsid w:val="36A171E4"/>
    <w:rsid w:val="375B41E8"/>
    <w:rsid w:val="37983B5D"/>
    <w:rsid w:val="37E008B4"/>
    <w:rsid w:val="37E3463B"/>
    <w:rsid w:val="38731E86"/>
    <w:rsid w:val="38A54F26"/>
    <w:rsid w:val="38AB24E9"/>
    <w:rsid w:val="38DD789A"/>
    <w:rsid w:val="390F1C37"/>
    <w:rsid w:val="393E61F7"/>
    <w:rsid w:val="39547B8F"/>
    <w:rsid w:val="396669FF"/>
    <w:rsid w:val="397B56DC"/>
    <w:rsid w:val="39AC7A37"/>
    <w:rsid w:val="39EE0ECA"/>
    <w:rsid w:val="3A010BF4"/>
    <w:rsid w:val="3A5A5133"/>
    <w:rsid w:val="3A5F052B"/>
    <w:rsid w:val="3B07350D"/>
    <w:rsid w:val="3B3347D5"/>
    <w:rsid w:val="3BC02155"/>
    <w:rsid w:val="3BF7E6BF"/>
    <w:rsid w:val="3C28581E"/>
    <w:rsid w:val="3C4538F8"/>
    <w:rsid w:val="3CA2297F"/>
    <w:rsid w:val="3CD975B2"/>
    <w:rsid w:val="3CFC1E0B"/>
    <w:rsid w:val="3CFF1E29"/>
    <w:rsid w:val="3D7D1865"/>
    <w:rsid w:val="3ED27DBD"/>
    <w:rsid w:val="3F0C0676"/>
    <w:rsid w:val="3F141141"/>
    <w:rsid w:val="3F5A3C2F"/>
    <w:rsid w:val="3F724603"/>
    <w:rsid w:val="3FC76EA6"/>
    <w:rsid w:val="40244897"/>
    <w:rsid w:val="40504E9C"/>
    <w:rsid w:val="4090448B"/>
    <w:rsid w:val="40F72F29"/>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0746D8"/>
    <w:rsid w:val="494B597C"/>
    <w:rsid w:val="498072FA"/>
    <w:rsid w:val="49962324"/>
    <w:rsid w:val="49ED0155"/>
    <w:rsid w:val="4A0734D6"/>
    <w:rsid w:val="4A5D3697"/>
    <w:rsid w:val="4AFC6247"/>
    <w:rsid w:val="4B06387A"/>
    <w:rsid w:val="4B223A4B"/>
    <w:rsid w:val="4B704D15"/>
    <w:rsid w:val="4B8F5D2D"/>
    <w:rsid w:val="4B9A22C6"/>
    <w:rsid w:val="4C0C0983"/>
    <w:rsid w:val="4C2E0DCB"/>
    <w:rsid w:val="4C641BFC"/>
    <w:rsid w:val="4C726569"/>
    <w:rsid w:val="4CB37C08"/>
    <w:rsid w:val="4CC874F6"/>
    <w:rsid w:val="4CD60537"/>
    <w:rsid w:val="4CDB1144"/>
    <w:rsid w:val="4D47054C"/>
    <w:rsid w:val="4D516231"/>
    <w:rsid w:val="4D52686A"/>
    <w:rsid w:val="4D6E4265"/>
    <w:rsid w:val="4D7D4F52"/>
    <w:rsid w:val="4D7E702B"/>
    <w:rsid w:val="4D94083B"/>
    <w:rsid w:val="4E4F369A"/>
    <w:rsid w:val="4E6A7538"/>
    <w:rsid w:val="4EDA6221"/>
    <w:rsid w:val="4F2E243F"/>
    <w:rsid w:val="4FDF2564"/>
    <w:rsid w:val="501523A2"/>
    <w:rsid w:val="504174FC"/>
    <w:rsid w:val="50571C9F"/>
    <w:rsid w:val="509F0738"/>
    <w:rsid w:val="50AB003F"/>
    <w:rsid w:val="50CF4503"/>
    <w:rsid w:val="50D37C15"/>
    <w:rsid w:val="511D019F"/>
    <w:rsid w:val="511D18C9"/>
    <w:rsid w:val="51542C8D"/>
    <w:rsid w:val="516234FD"/>
    <w:rsid w:val="51656886"/>
    <w:rsid w:val="516A1B63"/>
    <w:rsid w:val="51B81737"/>
    <w:rsid w:val="51D77030"/>
    <w:rsid w:val="51F06651"/>
    <w:rsid w:val="52353A0A"/>
    <w:rsid w:val="52D85750"/>
    <w:rsid w:val="52FB18C6"/>
    <w:rsid w:val="531072F0"/>
    <w:rsid w:val="53213E80"/>
    <w:rsid w:val="53FE3E0A"/>
    <w:rsid w:val="543142CF"/>
    <w:rsid w:val="55286E22"/>
    <w:rsid w:val="556E6581"/>
    <w:rsid w:val="5588677D"/>
    <w:rsid w:val="55EE539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A104EB"/>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8B2C82"/>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7E2016"/>
    <w:rsid w:val="6F0452B4"/>
    <w:rsid w:val="6F4C6B46"/>
    <w:rsid w:val="70905002"/>
    <w:rsid w:val="709534C1"/>
    <w:rsid w:val="70BB7C71"/>
    <w:rsid w:val="717D0E42"/>
    <w:rsid w:val="719F75B5"/>
    <w:rsid w:val="71B400B8"/>
    <w:rsid w:val="71BF5D6D"/>
    <w:rsid w:val="71CA25C3"/>
    <w:rsid w:val="72516F6C"/>
    <w:rsid w:val="72EF1566"/>
    <w:rsid w:val="73412F53"/>
    <w:rsid w:val="73437FCE"/>
    <w:rsid w:val="73B30FC6"/>
    <w:rsid w:val="74592D34"/>
    <w:rsid w:val="748443E4"/>
    <w:rsid w:val="74CC6652"/>
    <w:rsid w:val="74D77289"/>
    <w:rsid w:val="74F952E5"/>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1E1A15"/>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20"/>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footer"/>
    <w:basedOn w:val="1"/>
    <w:link w:val="16"/>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7">
    <w:name w:val="header"/>
    <w:basedOn w:val="1"/>
    <w:link w:val="15"/>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1">
    <w:name w:val="Strong"/>
    <w:autoRedefine/>
    <w:qFormat/>
    <w:uiPriority w:val="22"/>
    <w:rPr>
      <w:b/>
      <w:bCs/>
    </w:rPr>
  </w:style>
  <w:style w:type="character" w:styleId="12">
    <w:name w:val="FollowedHyperlink"/>
    <w:basedOn w:val="10"/>
    <w:autoRedefine/>
    <w:semiHidden/>
    <w:unhideWhenUsed/>
    <w:qFormat/>
    <w:uiPriority w:val="99"/>
    <w:rPr>
      <w:color w:val="954F72" w:themeColor="followedHyperlink"/>
      <w:u w:val="single"/>
      <w14:textFill>
        <w14:solidFill>
          <w14:schemeClr w14:val="folHlink"/>
        </w14:solidFill>
      </w14:textFill>
    </w:rPr>
  </w:style>
  <w:style w:type="character" w:styleId="13">
    <w:name w:val="Emphasis"/>
    <w:basedOn w:val="10"/>
    <w:autoRedefine/>
    <w:qFormat/>
    <w:uiPriority w:val="20"/>
    <w:rPr>
      <w:i/>
      <w:iCs/>
    </w:rPr>
  </w:style>
  <w:style w:type="character" w:styleId="14">
    <w:name w:val="Hyperlink"/>
    <w:basedOn w:val="10"/>
    <w:autoRedefine/>
    <w:unhideWhenUsed/>
    <w:qFormat/>
    <w:uiPriority w:val="99"/>
    <w:rPr>
      <w:color w:val="0563C1" w:themeColor="hyperlink"/>
      <w:u w:val="single"/>
      <w14:textFill>
        <w14:solidFill>
          <w14:schemeClr w14:val="hlink"/>
        </w14:solidFill>
      </w14:textFill>
    </w:rPr>
  </w:style>
  <w:style w:type="character" w:customStyle="1" w:styleId="15">
    <w:name w:val="页眉 字符"/>
    <w:basedOn w:val="10"/>
    <w:link w:val="7"/>
    <w:autoRedefine/>
    <w:qFormat/>
    <w:uiPriority w:val="99"/>
    <w:rPr>
      <w:sz w:val="18"/>
      <w:szCs w:val="18"/>
    </w:rPr>
  </w:style>
  <w:style w:type="character" w:customStyle="1" w:styleId="16">
    <w:name w:val="页脚 字符"/>
    <w:basedOn w:val="10"/>
    <w:link w:val="6"/>
    <w:autoRedefine/>
    <w:qFormat/>
    <w:uiPriority w:val="99"/>
    <w:rPr>
      <w:sz w:val="18"/>
      <w:szCs w:val="18"/>
    </w:rPr>
  </w:style>
  <w:style w:type="character" w:customStyle="1" w:styleId="17">
    <w:name w:val="未处理的提及1"/>
    <w:basedOn w:val="10"/>
    <w:autoRedefine/>
    <w:semiHidden/>
    <w:unhideWhenUsed/>
    <w:qFormat/>
    <w:uiPriority w:val="99"/>
    <w:rPr>
      <w:color w:val="605E5C"/>
      <w:shd w:val="clear" w:color="auto" w:fill="E1DFDD"/>
    </w:rPr>
  </w:style>
  <w:style w:type="paragraph" w:styleId="18">
    <w:name w:val="List Paragraph"/>
    <w:basedOn w:val="1"/>
    <w:autoRedefine/>
    <w:qFormat/>
    <w:uiPriority w:val="34"/>
    <w:pPr>
      <w:ind w:firstLine="420" w:firstLineChars="200"/>
    </w:pPr>
  </w:style>
  <w:style w:type="character" w:customStyle="1" w:styleId="19">
    <w:name w:val="未处理的提及2"/>
    <w:basedOn w:val="10"/>
    <w:autoRedefine/>
    <w:semiHidden/>
    <w:unhideWhenUsed/>
    <w:qFormat/>
    <w:uiPriority w:val="99"/>
    <w:rPr>
      <w:color w:val="605E5C"/>
      <w:shd w:val="clear" w:color="auto" w:fill="E1DFDD"/>
    </w:rPr>
  </w:style>
  <w:style w:type="character" w:customStyle="1" w:styleId="20">
    <w:name w:val="标题 3 字符"/>
    <w:link w:val="4"/>
    <w:autoRedefine/>
    <w:qFormat/>
    <w:uiPriority w:val="0"/>
    <w:rPr>
      <w:rFonts w:ascii="方正楷体简体" w:hAnsi="方正楷体简体" w:eastAsia="方正楷体简体"/>
      <w:sz w:val="32"/>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Unresolved Mention"/>
    <w:basedOn w:val="10"/>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773</Words>
  <Characters>4409</Characters>
  <Lines>36</Lines>
  <Paragraphs>10</Paragraphs>
  <TotalTime>0</TotalTime>
  <ScaleCrop>false</ScaleCrop>
  <LinksUpToDate>false</LinksUpToDate>
  <CharactersWithSpaces>5172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2024-04-17T00:44:36Z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B29351D49C9046AE86D768CDD4E7C3C3_13</vt:lpwstr>
  </property>
</Properties>
</file>