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588" w:gutter="0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此表由申报单位填写。每个本科高校会员单位、分支机构申报数原则上不超过12项；每个高职高专院校、非高校研究生培养机构、独立设置教育科研机构会员单位申报数原则上不超过9项。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50855515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06AE4E48"/>
    <w:rsid w:val="6287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2023-04-18T08:20:00Z</dcterms:created>
  <dc:creator>934940350</dc:creator>
  <cp:lastModifiedBy>Alice</cp:lastModifiedBy>
  <dcterms:modified xsi:type="dcterms:W3CDTF">2023-04-20T08:05:08Z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B9C2325063C24678B0EE63F649CDF3EE</vt:lpwstr>
  </property>
</Properties>
</file>